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9"/>
        <w:jc w:val="left"/>
        <w:rPr>
          <w:b/>
          <w:b/>
          <w:i w:val="false"/>
          <w:i w:val="false"/>
          <w:sz w:val="24"/>
          <w:szCs w:val="24"/>
          <w:lang w:val="pl-PL"/>
        </w:rPr>
      </w:pPr>
      <w:r>
        <w:rPr>
          <w:b/>
          <w:i w:val="false"/>
          <w:sz w:val="24"/>
          <w:szCs w:val="24"/>
          <w:lang w:val="pl-PL"/>
        </w:rPr>
      </w:r>
    </w:p>
    <w:p>
      <w:pPr>
        <w:pStyle w:val="Nagwek12"/>
        <w:keepNext w:val="true"/>
        <w:keepLines/>
        <w:shd w:val="clear" w:color="auto" w:fill="auto"/>
        <w:spacing w:lineRule="exact" w:line="320"/>
        <w:rPr/>
      </w:pPr>
      <w:r>
        <w:rPr/>
      </w:r>
    </w:p>
    <w:p>
      <w:pPr>
        <w:pStyle w:val="Nagwek12"/>
        <w:keepNext w:val="true"/>
        <w:keepLines/>
        <w:shd w:val="clear" w:color="auto" w:fill="auto"/>
        <w:spacing w:lineRule="exact" w:line="320"/>
        <w:rPr>
          <w:sz w:val="36"/>
        </w:rPr>
      </w:pPr>
      <w:r>
        <w:rPr>
          <w:sz w:val="36"/>
        </w:rPr>
        <w:t>ZAPYTANIE OFERTOWE</w:t>
      </w:r>
    </w:p>
    <w:p>
      <w:pPr>
        <w:pStyle w:val="Nagwek12"/>
        <w:keepNext w:val="true"/>
        <w:keepLines/>
        <w:shd w:val="clear" w:color="auto" w:fill="auto"/>
        <w:spacing w:lineRule="exact" w:line="320"/>
        <w:rPr/>
      </w:pPr>
      <w:r>
        <w:rPr/>
      </w:r>
    </w:p>
    <w:p>
      <w:pPr>
        <w:pStyle w:val="Nagwek12"/>
        <w:keepNext w:val="true"/>
        <w:keepLines/>
        <w:shd w:val="clear" w:color="auto" w:fill="auto"/>
        <w:spacing w:lineRule="exact" w:line="320"/>
        <w:rPr/>
      </w:pPr>
      <w:r>
        <w:rPr/>
      </w:r>
    </w:p>
    <w:p>
      <w:pPr>
        <w:pStyle w:val="Teksttreci31"/>
        <w:rPr>
          <w:sz w:val="32"/>
          <w:szCs w:val="32"/>
        </w:rPr>
      </w:pPr>
      <w:r>
        <w:rPr>
          <w:sz w:val="32"/>
          <w:szCs w:val="32"/>
        </w:rPr>
        <w:t xml:space="preserve">Spółka Cywilna "Medyk" Elżbieta Gronek-Kozak, Norbert Kozak, Elżbieta Błażejewska, Elwira Warno-Snopek </w:t>
      </w:r>
    </w:p>
    <w:p>
      <w:pPr>
        <w:pStyle w:val="Teksttreci31"/>
        <w:rPr/>
      </w:pPr>
      <w:r>
        <w:rPr/>
      </w:r>
    </w:p>
    <w:p>
      <w:pPr>
        <w:pStyle w:val="Teksttreci31"/>
        <w:rPr/>
      </w:pPr>
      <w:r>
        <w:rPr/>
        <w:t>zaprasza do złożenia oferty na modernizację oprogramowania medycznego oraz dostawę i instalację infrastruktury IT</w:t>
      </w:r>
    </w:p>
    <w:p>
      <w:pPr>
        <w:pStyle w:val="Teksttreci31"/>
        <w:shd w:val="clear" w:color="auto" w:fill="auto"/>
        <w:jc w:val="both"/>
        <w:rPr/>
      </w:pPr>
      <w:r>
        <w:rPr/>
      </w:r>
    </w:p>
    <w:p>
      <w:pPr>
        <w:pStyle w:val="Teksttreci21"/>
        <w:spacing w:lineRule="exact" w:line="274"/>
        <w:jc w:val="center"/>
        <w:rPr>
          <w:szCs w:val="24"/>
        </w:rPr>
      </w:pPr>
      <w:r>
        <w:rPr>
          <w:szCs w:val="24"/>
        </w:rPr>
        <w:t xml:space="preserve">Projekt współfinansowany ze środków Unii Europejskiej w ramach </w:t>
      </w:r>
      <w:r>
        <w:rPr>
          <w:rStyle w:val="Markedcontent"/>
          <w:szCs w:val="24"/>
        </w:rPr>
        <w:t>grantu dla Placówek POZ w projekcie: nr POIS.11.03.00-00-0074/22 pn. „Wdrożenie e-usług w placówkach POZ i ich integracja z systemem e-zdrowia („e-usługi POZ”)”,  realizowanym w ramach Programu Operacyjnego Infrastruktura i Środowisko 2014-2020.</w:t>
      </w:r>
    </w:p>
    <w:p>
      <w:pPr>
        <w:pStyle w:val="Teksttreci21"/>
        <w:shd w:val="clear" w:color="auto" w:fill="auto"/>
        <w:spacing w:lineRule="exact" w:line="274"/>
        <w:ind w:hanging="0"/>
        <w:jc w:val="both"/>
        <w:rPr>
          <w:i/>
          <w:i/>
        </w:rPr>
      </w:pPr>
      <w:r>
        <w:rPr>
          <w:i/>
        </w:rPr>
      </w:r>
    </w:p>
    <w:p>
      <w:pPr>
        <w:pStyle w:val="Teksttreci31"/>
        <w:shd w:val="clear" w:color="auto" w:fill="auto"/>
        <w:rPr/>
      </w:pPr>
      <w:r>
        <w:rPr/>
      </w:r>
    </w:p>
    <w:p>
      <w:pPr>
        <w:pStyle w:val="Teksttreci21"/>
        <w:shd w:val="clear" w:color="auto" w:fill="auto"/>
        <w:spacing w:lineRule="exact" w:line="274"/>
        <w:ind w:left="360" w:hanging="360"/>
        <w:jc w:val="both"/>
        <w:rPr/>
      </w:pPr>
      <w:r>
        <w:rPr/>
      </w:r>
    </w:p>
    <w:p>
      <w:pPr>
        <w:pStyle w:val="Teksttreci21"/>
        <w:shd w:val="clear" w:color="auto" w:fill="auto"/>
        <w:spacing w:lineRule="exact" w:line="274"/>
        <w:ind w:left="360" w:hanging="360"/>
        <w:jc w:val="left"/>
        <w:rPr/>
      </w:pPr>
      <w:r>
        <w:rPr/>
      </w:r>
    </w:p>
    <w:p>
      <w:pPr>
        <w:pStyle w:val="Tretekstu"/>
        <w:rPr>
          <w:b w:val="false"/>
          <w:b w:val="false"/>
          <w:szCs w:val="24"/>
        </w:rPr>
      </w:pPr>
      <w:r>
        <w:rPr>
          <w:b w:val="false"/>
          <w:szCs w:val="24"/>
        </w:rPr>
      </w:r>
    </w:p>
    <w:p>
      <w:pPr>
        <w:pStyle w:val="Tretekstu"/>
        <w:jc w:val="center"/>
        <w:rPr>
          <w:szCs w:val="24"/>
          <w:lang w:val="pl-PL"/>
        </w:rPr>
      </w:pPr>
      <w:r>
        <w:rPr>
          <w:szCs w:val="24"/>
        </w:rPr>
        <w:t xml:space="preserve">znak postępowania: </w:t>
      </w:r>
      <w:r>
        <w:rPr>
          <w:szCs w:val="24"/>
          <w:lang w:val="pl-PL"/>
        </w:rPr>
        <w:t>1/2023</w:t>
      </w:r>
    </w:p>
    <w:p>
      <w:pPr>
        <w:pStyle w:val="Tretekstu"/>
        <w:jc w:val="center"/>
        <w:rPr>
          <w:szCs w:val="24"/>
        </w:rPr>
      </w:pPr>
      <w:r>
        <w:rPr>
          <w:szCs w:val="24"/>
        </w:rPr>
      </w:r>
    </w:p>
    <w:p>
      <w:pPr>
        <w:pStyle w:val="Tretekstu"/>
        <w:jc w:val="center"/>
        <w:rPr>
          <w:szCs w:val="24"/>
        </w:rPr>
      </w:pPr>
      <w:r>
        <w:rPr>
          <w:szCs w:val="24"/>
        </w:rPr>
      </w:r>
    </w:p>
    <w:p>
      <w:pPr>
        <w:pStyle w:val="Normal"/>
        <w:jc w:val="both"/>
        <w:rPr>
          <w:szCs w:val="24"/>
          <w:u w:val="single"/>
        </w:rPr>
      </w:pPr>
      <w:r>
        <w:rPr>
          <w:szCs w:val="24"/>
          <w:u w:val="single"/>
        </w:rPr>
      </w:r>
    </w:p>
    <w:p>
      <w:pPr>
        <w:pStyle w:val="Pkt"/>
        <w:spacing w:lineRule="auto" w:line="240" w:before="0" w:after="0"/>
        <w:ind w:left="0" w:hanging="0"/>
        <w:jc w:val="center"/>
        <w:rPr>
          <w:rFonts w:ascii="Times New Roman" w:hAnsi="Times New Roman"/>
          <w:iCs/>
          <w:sz w:val="24"/>
          <w:szCs w:val="24"/>
        </w:rPr>
      </w:pPr>
      <w:r>
        <w:rPr>
          <w:rFonts w:ascii="Times New Roman" w:hAnsi="Times New Roman"/>
          <w:iCs/>
          <w:sz w:val="24"/>
          <w:szCs w:val="24"/>
        </w:rPr>
      </w:r>
    </w:p>
    <w:p>
      <w:pPr>
        <w:pStyle w:val="Nagwek9"/>
        <w:ind w:left="3540" w:firstLine="708"/>
        <w:jc w:val="center"/>
        <w:rPr>
          <w:i w:val="false"/>
          <w:i w:val="false"/>
          <w:sz w:val="24"/>
          <w:szCs w:val="24"/>
        </w:rPr>
      </w:pPr>
      <w:r>
        <w:rPr>
          <w:iCs w:val="false"/>
          <w:sz w:val="24"/>
          <w:szCs w:val="24"/>
        </w:rPr>
        <w:t>ZATWIERDZAM</w:t>
      </w:r>
    </w:p>
    <w:p>
      <w:pPr>
        <w:pStyle w:val="Pkt"/>
        <w:spacing w:lineRule="auto" w:line="240" w:before="0" w:after="0"/>
        <w:ind w:left="0" w:hanging="0"/>
        <w:rPr>
          <w:rFonts w:ascii="Times New Roman" w:hAnsi="Times New Roman"/>
          <w:b/>
          <w:b/>
          <w:iCs/>
          <w:sz w:val="24"/>
          <w:szCs w:val="24"/>
        </w:rPr>
      </w:pPr>
      <w:r>
        <w:rPr>
          <w:rFonts w:ascii="Times New Roman" w:hAnsi="Times New Roman"/>
          <w:b/>
          <w:iCs/>
          <w:sz w:val="24"/>
          <w:szCs w:val="24"/>
        </w:rPr>
      </w:r>
    </w:p>
    <w:p>
      <w:pPr>
        <w:pStyle w:val="Pkt"/>
        <w:spacing w:lineRule="auto" w:line="240" w:before="0" w:after="0"/>
        <w:ind w:left="3540" w:firstLine="708"/>
        <w:jc w:val="center"/>
        <w:rPr>
          <w:rFonts w:ascii="Times New Roman" w:hAnsi="Times New Roman"/>
          <w:b/>
          <w:b/>
          <w:iCs/>
          <w:sz w:val="24"/>
          <w:szCs w:val="24"/>
        </w:rPr>
      </w:pPr>
      <w:r>
        <w:rPr>
          <w:rFonts w:ascii="Times New Roman" w:hAnsi="Times New Roman"/>
          <w:b/>
          <w:iCs/>
          <w:sz w:val="24"/>
          <w:szCs w:val="24"/>
        </w:rPr>
      </w:r>
    </w:p>
    <w:p>
      <w:pPr>
        <w:pStyle w:val="Pkt"/>
        <w:spacing w:lineRule="auto" w:line="240" w:before="0" w:after="0"/>
        <w:ind w:left="3540" w:firstLine="708"/>
        <w:jc w:val="center"/>
        <w:rPr>
          <w:rFonts w:ascii="Times New Roman" w:hAnsi="Times New Roman"/>
          <w:b/>
          <w:b/>
          <w:iCs/>
          <w:sz w:val="24"/>
          <w:szCs w:val="24"/>
        </w:rPr>
      </w:pPr>
      <w:r>
        <w:rPr>
          <w:rFonts w:ascii="Times New Roman" w:hAnsi="Times New Roman"/>
          <w:b/>
          <w:iCs/>
          <w:sz w:val="24"/>
          <w:szCs w:val="24"/>
        </w:rPr>
        <w:t xml:space="preserve">       </w:t>
      </w:r>
    </w:p>
    <w:p>
      <w:pPr>
        <w:pStyle w:val="Pkt"/>
        <w:spacing w:lineRule="auto" w:line="240" w:before="0" w:after="0"/>
        <w:ind w:left="3540" w:firstLine="708"/>
        <w:jc w:val="center"/>
        <w:rPr>
          <w:i/>
          <w:i/>
          <w:sz w:val="24"/>
          <w:szCs w:val="24"/>
        </w:rPr>
      </w:pPr>
      <w:r>
        <w:rPr>
          <w:i/>
          <w:sz w:val="24"/>
          <w:szCs w:val="24"/>
        </w:rPr>
      </w:r>
    </w:p>
    <w:p>
      <w:pPr>
        <w:pStyle w:val="Pkt"/>
        <w:spacing w:lineRule="auto" w:line="240" w:before="0" w:after="0"/>
        <w:ind w:left="3540" w:firstLine="708"/>
        <w:jc w:val="center"/>
        <w:rPr>
          <w:i/>
          <w:i/>
          <w:sz w:val="24"/>
          <w:szCs w:val="24"/>
        </w:rPr>
      </w:pPr>
      <w:r>
        <w:rPr>
          <w:i/>
          <w:sz w:val="24"/>
          <w:szCs w:val="24"/>
        </w:rPr>
      </w:r>
    </w:p>
    <w:p>
      <w:pPr>
        <w:pStyle w:val="Pkt"/>
        <w:spacing w:lineRule="auto" w:line="240" w:before="0" w:after="0"/>
        <w:ind w:left="3540" w:firstLine="708"/>
        <w:jc w:val="center"/>
        <w:rPr>
          <w:i/>
          <w:i/>
          <w:sz w:val="24"/>
          <w:szCs w:val="24"/>
        </w:rPr>
      </w:pPr>
      <w:r>
        <w:rPr>
          <w:i/>
          <w:sz w:val="24"/>
          <w:szCs w:val="24"/>
        </w:rPr>
      </w:r>
    </w:p>
    <w:p>
      <w:pPr>
        <w:pStyle w:val="Pkt"/>
        <w:spacing w:lineRule="auto" w:line="240" w:before="0" w:after="0"/>
        <w:ind w:left="3540" w:firstLine="708"/>
        <w:jc w:val="center"/>
        <w:rPr>
          <w:i/>
          <w:i/>
          <w:sz w:val="24"/>
          <w:szCs w:val="24"/>
        </w:rPr>
      </w:pPr>
      <w:r>
        <w:rPr>
          <w:i/>
          <w:sz w:val="24"/>
          <w:szCs w:val="24"/>
        </w:rPr>
      </w:r>
    </w:p>
    <w:p>
      <w:pPr>
        <w:pStyle w:val="Pkt"/>
        <w:spacing w:lineRule="auto" w:line="240" w:before="0" w:after="0"/>
        <w:ind w:left="3540" w:firstLine="708"/>
        <w:jc w:val="center"/>
        <w:rPr>
          <w:i/>
          <w:i/>
          <w:sz w:val="24"/>
          <w:szCs w:val="24"/>
        </w:rPr>
      </w:pPr>
      <w:r>
        <w:rPr>
          <w:i/>
          <w:sz w:val="24"/>
          <w:szCs w:val="24"/>
        </w:rPr>
      </w:r>
    </w:p>
    <w:p>
      <w:pPr>
        <w:pStyle w:val="Pkt"/>
        <w:spacing w:lineRule="auto" w:line="240" w:before="0" w:after="0"/>
        <w:ind w:left="3540" w:firstLine="708"/>
        <w:jc w:val="center"/>
        <w:rPr>
          <w:i/>
          <w:i/>
          <w:sz w:val="24"/>
          <w:szCs w:val="24"/>
        </w:rPr>
      </w:pPr>
      <w:r>
        <w:rPr>
          <w:i/>
          <w:sz w:val="24"/>
          <w:szCs w:val="24"/>
        </w:rPr>
      </w:r>
    </w:p>
    <w:p>
      <w:pPr>
        <w:pStyle w:val="Normal"/>
        <w:jc w:val="center"/>
        <w:rPr>
          <w:i/>
          <w:i/>
          <w:szCs w:val="24"/>
        </w:rPr>
      </w:pPr>
      <w:r>
        <w:rPr>
          <w:i/>
          <w:szCs w:val="24"/>
        </w:rPr>
      </w:r>
    </w:p>
    <w:p>
      <w:pPr>
        <w:pStyle w:val="Normal"/>
        <w:jc w:val="center"/>
        <w:rPr>
          <w:i/>
          <w:i/>
          <w:szCs w:val="24"/>
        </w:rPr>
      </w:pPr>
      <w:r>
        <w:rPr>
          <w:i/>
          <w:szCs w:val="24"/>
        </w:rPr>
      </w:r>
    </w:p>
    <w:p>
      <w:pPr>
        <w:pStyle w:val="Normal"/>
        <w:jc w:val="center"/>
        <w:rPr>
          <w:i/>
          <w:i/>
          <w:szCs w:val="24"/>
        </w:rPr>
      </w:pPr>
      <w:r>
        <w:rPr>
          <w:i/>
          <w:szCs w:val="24"/>
        </w:rPr>
      </w:r>
    </w:p>
    <w:p>
      <w:pPr>
        <w:pStyle w:val="Normal"/>
        <w:jc w:val="center"/>
        <w:rPr>
          <w:i/>
          <w:i/>
          <w:szCs w:val="24"/>
        </w:rPr>
      </w:pPr>
      <w:r>
        <w:rPr>
          <w:i/>
          <w:szCs w:val="24"/>
        </w:rPr>
      </w:r>
    </w:p>
    <w:p>
      <w:pPr>
        <w:pStyle w:val="Normal"/>
        <w:jc w:val="center"/>
        <w:rPr>
          <w:i/>
          <w:i/>
          <w:szCs w:val="24"/>
        </w:rPr>
      </w:pPr>
      <w:r>
        <w:rPr>
          <w:i/>
          <w:szCs w:val="24"/>
        </w:rPr>
      </w:r>
    </w:p>
    <w:p>
      <w:pPr>
        <w:pStyle w:val="Normal"/>
        <w:jc w:val="center"/>
        <w:rPr>
          <w:i/>
          <w:i/>
          <w:szCs w:val="24"/>
        </w:rPr>
      </w:pPr>
      <w:r>
        <w:rPr>
          <w:szCs w:val="24"/>
        </w:rPr>
        <w:t>KĘTRZYN</w:t>
      </w:r>
      <w:r>
        <w:rPr>
          <w:iCs/>
          <w:szCs w:val="24"/>
        </w:rPr>
        <w:t>, 19 kwiecień 2023</w:t>
      </w:r>
    </w:p>
    <w:p>
      <w:pPr>
        <w:pStyle w:val="Normal"/>
        <w:jc w:val="both"/>
        <w:rPr>
          <w:szCs w:val="24"/>
          <w:u w:val="single"/>
        </w:rPr>
      </w:pPr>
      <w:r>
        <w:rPr>
          <w:szCs w:val="24"/>
          <w:u w:val="single"/>
        </w:rPr>
      </w:r>
    </w:p>
    <w:p>
      <w:pPr>
        <w:pStyle w:val="Normal"/>
        <w:jc w:val="both"/>
        <w:rPr>
          <w:szCs w:val="24"/>
          <w:u w:val="single"/>
        </w:rPr>
      </w:pPr>
      <w:r>
        <w:rPr>
          <w:szCs w:val="24"/>
          <w:u w:val="single"/>
        </w:rPr>
      </w:r>
      <w:r>
        <w:br w:type="page"/>
      </w:r>
    </w:p>
    <w:p>
      <w:pPr>
        <w:pStyle w:val="Normal"/>
        <w:widowControl w:val="false"/>
        <w:numPr>
          <w:ilvl w:val="0"/>
          <w:numId w:val="2"/>
        </w:numPr>
        <w:suppressAutoHyphens w:val="true"/>
        <w:spacing w:lineRule="auto" w:line="360" w:beforeAutospacing="1" w:after="0"/>
        <w:ind w:left="567" w:hanging="425"/>
        <w:jc w:val="both"/>
        <w:rPr>
          <w:szCs w:val="22"/>
        </w:rPr>
      </w:pPr>
      <w:r>
        <w:rPr>
          <w:b/>
          <w:bCs/>
          <w:szCs w:val="22"/>
        </w:rPr>
        <w:t xml:space="preserve">NAZWA ORAZ ADRES ZAMAWIAJĄCEGO </w:t>
      </w:r>
    </w:p>
    <w:p>
      <w:pPr>
        <w:pStyle w:val="Normal"/>
        <w:spacing w:lineRule="auto" w:line="360"/>
        <w:ind w:left="2835" w:hanging="2835"/>
        <w:jc w:val="both"/>
        <w:rPr>
          <w:szCs w:val="24"/>
        </w:rPr>
      </w:pPr>
      <w:r>
        <w:rPr>
          <w:szCs w:val="24"/>
        </w:rPr>
        <w:t>Nazwa Zamawiającego:</w:t>
        <w:tab/>
        <w:t>Spółka Cywilna "Medyk" Elżbieta Gronek-Kozak, Norbert Kozak, Elżbieta Błażejewska, Elwira Warno-Snopek</w:t>
      </w:r>
    </w:p>
    <w:p>
      <w:pPr>
        <w:pStyle w:val="Normal"/>
        <w:spacing w:lineRule="auto" w:line="360"/>
        <w:jc w:val="both"/>
        <w:rPr>
          <w:szCs w:val="24"/>
        </w:rPr>
      </w:pPr>
      <w:r>
        <w:rPr>
          <w:szCs w:val="24"/>
        </w:rPr>
        <w:t>REGON:</w:t>
        <w:tab/>
        <w:tab/>
        <w:tab/>
        <w:t>511350612</w:t>
      </w:r>
    </w:p>
    <w:p>
      <w:pPr>
        <w:pStyle w:val="Normal"/>
        <w:spacing w:lineRule="auto" w:line="360"/>
        <w:jc w:val="both"/>
        <w:rPr>
          <w:szCs w:val="24"/>
        </w:rPr>
      </w:pPr>
      <w:r>
        <w:rPr>
          <w:szCs w:val="24"/>
        </w:rPr>
        <w:t xml:space="preserve">NIP: </w:t>
        <w:tab/>
        <w:tab/>
        <w:tab/>
        <w:tab/>
        <w:t>7421757684</w:t>
      </w:r>
    </w:p>
    <w:p>
      <w:pPr>
        <w:pStyle w:val="Normal"/>
        <w:spacing w:lineRule="auto" w:line="360"/>
        <w:jc w:val="both"/>
        <w:rPr>
          <w:szCs w:val="24"/>
        </w:rPr>
      </w:pPr>
      <w:r>
        <w:rPr>
          <w:szCs w:val="24"/>
        </w:rPr>
        <w:t xml:space="preserve">KRS:   </w:t>
        <w:tab/>
        <w:tab/>
        <w:tab/>
      </w:r>
    </w:p>
    <w:p>
      <w:pPr>
        <w:pStyle w:val="Normal"/>
        <w:spacing w:lineRule="auto" w:line="360"/>
        <w:jc w:val="both"/>
        <w:rPr>
          <w:szCs w:val="24"/>
        </w:rPr>
      </w:pPr>
      <w:r>
        <w:rPr>
          <w:szCs w:val="24"/>
        </w:rPr>
        <w:t>Miejscowość</w:t>
        <w:tab/>
        <w:tab/>
        <w:tab/>
        <w:t>KĘTRZYN</w:t>
      </w:r>
    </w:p>
    <w:p>
      <w:pPr>
        <w:pStyle w:val="Normal"/>
        <w:spacing w:lineRule="auto" w:line="360"/>
        <w:jc w:val="both"/>
        <w:rPr>
          <w:szCs w:val="24"/>
        </w:rPr>
      </w:pPr>
      <w:r>
        <w:rPr>
          <w:szCs w:val="24"/>
        </w:rPr>
        <w:t>Adres:</w:t>
        <w:tab/>
        <w:tab/>
        <w:tab/>
        <w:tab/>
        <w:t>ul. Kołobrzeska 1G,  11-400 Kętrzyn</w:t>
      </w:r>
    </w:p>
    <w:p>
      <w:pPr>
        <w:pStyle w:val="Normal"/>
        <w:spacing w:lineRule="auto" w:line="360"/>
        <w:jc w:val="both"/>
        <w:rPr>
          <w:szCs w:val="24"/>
          <w:lang w:val="en-US"/>
        </w:rPr>
      </w:pPr>
      <w:r>
        <w:rPr>
          <w:szCs w:val="24"/>
          <w:lang w:val="en-US"/>
        </w:rPr>
        <w:t xml:space="preserve">Tel.: </w:t>
        <w:tab/>
        <w:tab/>
        <w:tab/>
        <w:tab/>
        <w:t>89 751 35 66</w:t>
      </w:r>
    </w:p>
    <w:p>
      <w:pPr>
        <w:pStyle w:val="Normal"/>
        <w:spacing w:lineRule="auto" w:line="360"/>
        <w:jc w:val="both"/>
        <w:rPr>
          <w:szCs w:val="24"/>
          <w:lang w:val="en-US"/>
        </w:rPr>
      </w:pPr>
      <w:r>
        <w:rPr>
          <w:szCs w:val="24"/>
          <w:lang w:val="en-US"/>
        </w:rPr>
        <w:t>Adres e-mail:                        nzozmedyk@vp.pl</w:t>
      </w:r>
    </w:p>
    <w:p>
      <w:pPr>
        <w:pStyle w:val="Normal"/>
        <w:spacing w:lineRule="auto" w:line="360"/>
        <w:jc w:val="both"/>
        <w:rPr>
          <w:b/>
          <w:b/>
          <w:szCs w:val="24"/>
        </w:rPr>
      </w:pPr>
      <w:r>
        <w:rPr>
          <w:b/>
          <w:szCs w:val="24"/>
        </w:rPr>
        <w:t xml:space="preserve">Adres strony internetowej, na której jest prowadzone postępowanie i na której będą dostępne wszelkie dokumenty związane z prowadzoną procedurą: </w:t>
      </w:r>
    </w:p>
    <w:p>
      <w:pPr>
        <w:pStyle w:val="Normal"/>
        <w:spacing w:lineRule="auto" w:line="360"/>
        <w:jc w:val="both"/>
        <w:rPr>
          <w:szCs w:val="24"/>
        </w:rPr>
      </w:pPr>
      <w:r>
        <w:rPr>
          <w:szCs w:val="24"/>
        </w:rPr>
        <w:t>Godziny pracy: 7:00 – 15:00 od poniedziałku do piątku.</w:t>
      </w:r>
    </w:p>
    <w:p>
      <w:pPr>
        <w:pStyle w:val="Normal"/>
        <w:spacing w:lineRule="auto" w:line="360"/>
        <w:jc w:val="both"/>
        <w:rPr>
          <w:szCs w:val="24"/>
        </w:rPr>
      </w:pPr>
      <w:r>
        <w:rPr>
          <w:szCs w:val="24"/>
        </w:rPr>
      </w:r>
    </w:p>
    <w:p>
      <w:pPr>
        <w:pStyle w:val="Normal"/>
        <w:spacing w:lineRule="auto" w:line="276"/>
        <w:jc w:val="both"/>
        <w:rPr>
          <w:b/>
          <w:b/>
          <w:bCs/>
          <w:iCs/>
          <w:szCs w:val="24"/>
        </w:rPr>
      </w:pPr>
      <w:r>
        <w:rPr>
          <w:b/>
          <w:bCs/>
          <w:iCs/>
          <w:szCs w:val="24"/>
        </w:rPr>
        <w:t>II.</w:t>
        <w:tab/>
        <w:t>OCHRONA DANYCH OSOBOWYCH</w:t>
      </w:r>
    </w:p>
    <w:p>
      <w:pPr>
        <w:pStyle w:val="Normal"/>
        <w:widowControl w:val="false"/>
        <w:numPr>
          <w:ilvl w:val="0"/>
          <w:numId w:val="3"/>
        </w:numPr>
        <w:suppressAutoHyphens w:val="true"/>
        <w:spacing w:lineRule="auto" w:line="360" w:beforeAutospacing="1" w:after="0"/>
        <w:ind w:left="284" w:hanging="284"/>
        <w:jc w:val="both"/>
        <w:rPr>
          <w:szCs w:val="22"/>
        </w:rPr>
      </w:pPr>
      <w:r>
        <w:rPr>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pPr>
        <w:pStyle w:val="Normal"/>
        <w:widowControl w:val="false"/>
        <w:numPr>
          <w:ilvl w:val="0"/>
          <w:numId w:val="4"/>
        </w:numPr>
        <w:suppressAutoHyphens w:val="true"/>
        <w:spacing w:lineRule="auto" w:line="360" w:beforeAutospacing="1" w:after="0"/>
        <w:jc w:val="both"/>
        <w:rPr>
          <w:rFonts w:eastAsia="Calibri"/>
          <w:szCs w:val="22"/>
          <w:lang w:eastAsia="en-US"/>
        </w:rPr>
      </w:pPr>
      <w:r>
        <w:rPr>
          <w:rFonts w:eastAsia="Calibri"/>
          <w:b/>
          <w:bCs/>
          <w:szCs w:val="22"/>
          <w:lang w:eastAsia="en-US"/>
        </w:rPr>
        <w:t xml:space="preserve">Administratorem Pani/Pana danych osobowych jest </w:t>
      </w:r>
      <w:r>
        <w:rPr>
          <w:szCs w:val="24"/>
        </w:rPr>
        <w:t>Spółka Cywilna "Medyk" Elżbieta Gronek-Kozak, Norbert Kozak, Elżbieta Błażejewska, Elwira Warno-Snopek</w:t>
      </w:r>
      <w:r>
        <w:rPr>
          <w:rFonts w:eastAsia="Calibri"/>
          <w:szCs w:val="22"/>
          <w:lang w:eastAsia="en-US"/>
        </w:rPr>
        <w:t xml:space="preserve">,  ul. Kołobrzeska 1G,  11-400 Kętrzyn, REGON: </w:t>
      </w:r>
      <w:r>
        <w:rPr>
          <w:szCs w:val="24"/>
        </w:rPr>
        <w:t>511350612</w:t>
      </w:r>
      <w:r>
        <w:rPr>
          <w:rFonts w:eastAsia="Calibri"/>
          <w:szCs w:val="22"/>
          <w:lang w:eastAsia="en-US"/>
        </w:rPr>
        <w:t xml:space="preserve">, NIP: </w:t>
      </w:r>
      <w:r>
        <w:rPr>
          <w:szCs w:val="24"/>
        </w:rPr>
        <w:t>7421757684</w:t>
      </w:r>
      <w:r>
        <w:rPr>
          <w:rFonts w:eastAsia="Calibri"/>
          <w:szCs w:val="22"/>
          <w:lang w:eastAsia="en-US"/>
        </w:rPr>
        <w:t xml:space="preserve">, KRS: , </w:t>
      </w:r>
    </w:p>
    <w:p>
      <w:pPr>
        <w:pStyle w:val="Normal"/>
        <w:widowControl w:val="false"/>
        <w:numPr>
          <w:ilvl w:val="0"/>
          <w:numId w:val="4"/>
        </w:numPr>
        <w:suppressAutoHyphens w:val="true"/>
        <w:spacing w:lineRule="auto" w:line="360" w:before="0" w:after="0"/>
        <w:jc w:val="both"/>
        <w:rPr>
          <w:rFonts w:eastAsia="Calibri"/>
          <w:szCs w:val="22"/>
          <w:lang w:eastAsia="en-US"/>
        </w:rPr>
      </w:pPr>
      <w:r>
        <w:rPr>
          <w:szCs w:val="22"/>
        </w:rPr>
        <w:t>Pani/Pana dane osobowe przetwarzane będą na podstawie art. 6 ust. 1 lit. c RODO w celu związanym z przedmiotowym postępowaniem o udzielenie zamówienia, prowadzonym w trybie konkurencyjnym;</w:t>
      </w:r>
    </w:p>
    <w:p>
      <w:pPr>
        <w:pStyle w:val="Normal"/>
        <w:widowControl w:val="false"/>
        <w:numPr>
          <w:ilvl w:val="0"/>
          <w:numId w:val="4"/>
        </w:numPr>
        <w:suppressAutoHyphens w:val="true"/>
        <w:spacing w:lineRule="auto" w:line="360" w:before="0" w:after="0"/>
        <w:jc w:val="both"/>
        <w:rPr>
          <w:rFonts w:eastAsia="Calibri"/>
          <w:szCs w:val="22"/>
          <w:lang w:eastAsia="en-US"/>
        </w:rPr>
      </w:pPr>
      <w:r>
        <w:rPr>
          <w:szCs w:val="22"/>
        </w:rPr>
        <w:t>odbiorcami Pani/Pana danych osobowych będą osoby lub podmioty, którym udostępniona zostanie dokumentacja postępowania;</w:t>
      </w:r>
    </w:p>
    <w:p>
      <w:pPr>
        <w:pStyle w:val="Normal"/>
        <w:widowControl w:val="false"/>
        <w:numPr>
          <w:ilvl w:val="0"/>
          <w:numId w:val="4"/>
        </w:numPr>
        <w:suppressAutoHyphens w:val="true"/>
        <w:spacing w:lineRule="auto" w:line="360" w:before="0" w:after="0"/>
        <w:jc w:val="both"/>
        <w:rPr>
          <w:rFonts w:eastAsia="Calibri"/>
          <w:szCs w:val="22"/>
          <w:lang w:eastAsia="en-US"/>
        </w:rPr>
      </w:pPr>
      <w:r>
        <w:rPr>
          <w:szCs w:val="22"/>
        </w:rPr>
        <w:t xml:space="preserve">Pani/Pana dane osobowe będą przechowywane przez okres 4 lat od dnia zakończenia postępowania o udzielenie zamówienia, a jeżeli czas trwania umowy przekracza 4 lata, okres przechowywania obejmuje cały czas trwania umowy; </w:t>
      </w:r>
    </w:p>
    <w:p>
      <w:pPr>
        <w:pStyle w:val="Normal"/>
        <w:widowControl w:val="false"/>
        <w:numPr>
          <w:ilvl w:val="0"/>
          <w:numId w:val="4"/>
        </w:numPr>
        <w:suppressAutoHyphens w:val="true"/>
        <w:spacing w:lineRule="auto" w:line="360" w:before="0" w:after="0"/>
        <w:jc w:val="both"/>
        <w:rPr>
          <w:rFonts w:eastAsia="Calibri"/>
          <w:szCs w:val="22"/>
          <w:lang w:eastAsia="en-US"/>
        </w:rPr>
      </w:pPr>
      <w:r>
        <w:rPr>
          <w:szCs w:val="22"/>
        </w:rPr>
        <w:t>w odniesieniu do Pani/Pana danych osobowych decyzje nie będą podejmowane w sposób zautomatyzowany, stosownie do art. 22 RODO;</w:t>
      </w:r>
    </w:p>
    <w:p>
      <w:pPr>
        <w:pStyle w:val="Normal"/>
        <w:widowControl w:val="false"/>
        <w:numPr>
          <w:ilvl w:val="0"/>
          <w:numId w:val="4"/>
        </w:numPr>
        <w:suppressAutoHyphens w:val="true"/>
        <w:spacing w:lineRule="auto" w:line="360" w:before="0" w:after="0"/>
        <w:jc w:val="both"/>
        <w:rPr>
          <w:rFonts w:eastAsia="Calibri"/>
          <w:szCs w:val="22"/>
          <w:lang w:eastAsia="en-US"/>
        </w:rPr>
      </w:pPr>
      <w:r>
        <w:rPr>
          <w:b/>
          <w:bCs/>
          <w:szCs w:val="22"/>
        </w:rPr>
        <w:t xml:space="preserve"> </w:t>
      </w:r>
      <w:r>
        <w:rPr>
          <w:b/>
          <w:bCs/>
          <w:szCs w:val="22"/>
        </w:rPr>
        <w:t xml:space="preserve">posiada Pani/Pan: </w:t>
      </w:r>
    </w:p>
    <w:p>
      <w:pPr>
        <w:pStyle w:val="Normal"/>
        <w:widowControl w:val="false"/>
        <w:numPr>
          <w:ilvl w:val="0"/>
          <w:numId w:val="5"/>
        </w:numPr>
        <w:suppressAutoHyphens w:val="true"/>
        <w:spacing w:lineRule="auto" w:line="360"/>
        <w:jc w:val="both"/>
        <w:rPr>
          <w:szCs w:val="22"/>
        </w:rPr>
      </w:pPr>
      <w:r>
        <w:rPr>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lub konkursu albo sprecyzowanie nazwy lub daty zakończonego postępowania o udzielenie zamówienia); </w:t>
      </w:r>
    </w:p>
    <w:p>
      <w:pPr>
        <w:pStyle w:val="Normal"/>
        <w:widowControl w:val="false"/>
        <w:numPr>
          <w:ilvl w:val="0"/>
          <w:numId w:val="5"/>
        </w:numPr>
        <w:suppressAutoHyphens w:val="true"/>
        <w:spacing w:lineRule="auto" w:line="360" w:before="0" w:after="0"/>
        <w:jc w:val="both"/>
        <w:rPr>
          <w:szCs w:val="22"/>
        </w:rPr>
      </w:pPr>
      <w:r>
        <w:rPr>
          <w:szCs w:val="22"/>
        </w:rPr>
        <w:t>na podstawie art. 16 RODO prawo do sprostowania Pani/Pana danych osobowych (</w:t>
      </w:r>
      <w:r>
        <w:rPr>
          <w:i/>
          <w:iCs/>
          <w:szCs w:val="22"/>
        </w:rPr>
        <w:t>skorzystanie z prawa do sprostowania nie może skutkować zmianą wyniku postępowania o udzielenie zamówienia ani zmianą postanowień  oraz nie może naruszać integralności protokołu oraz jego załączników</w:t>
      </w:r>
      <w:r>
        <w:rPr>
          <w:szCs w:val="22"/>
        </w:rPr>
        <w:t xml:space="preserve">); </w:t>
      </w:r>
    </w:p>
    <w:p>
      <w:pPr>
        <w:pStyle w:val="Normal"/>
        <w:widowControl w:val="false"/>
        <w:numPr>
          <w:ilvl w:val="0"/>
          <w:numId w:val="5"/>
        </w:numPr>
        <w:suppressAutoHyphens w:val="true"/>
        <w:spacing w:lineRule="auto" w:line="360" w:before="0" w:after="0"/>
        <w:jc w:val="both"/>
        <w:rPr>
          <w:szCs w:val="22"/>
        </w:rPr>
      </w:pPr>
      <w:r>
        <w:rPr>
          <w:szCs w:val="22"/>
        </w:rPr>
        <w:t>na podstawie art. 18 RODO prawo żądania od administratora ograniczenia przetwarzania danych osobowych z zastrzeżeniem okresu trwania postępowania o udzielenie zamówienia lub konkursu oraz przypadków, o których mowa w art. 18 ust. 2 RODO (</w:t>
      </w:r>
      <w:r>
        <w:rPr>
          <w:i/>
          <w:iCs/>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Cs w:val="22"/>
        </w:rPr>
        <w:t xml:space="preserve">); </w:t>
      </w:r>
    </w:p>
    <w:p>
      <w:pPr>
        <w:pStyle w:val="Normal"/>
        <w:widowControl w:val="false"/>
        <w:numPr>
          <w:ilvl w:val="0"/>
          <w:numId w:val="5"/>
        </w:numPr>
        <w:suppressAutoHyphens w:val="true"/>
        <w:spacing w:lineRule="auto" w:line="360" w:before="0" w:after="0"/>
        <w:jc w:val="both"/>
        <w:rPr>
          <w:szCs w:val="22"/>
        </w:rPr>
      </w:pPr>
      <w:r>
        <w:rPr>
          <w:szCs w:val="22"/>
        </w:rPr>
        <w:t xml:space="preserve">prawo do wniesienia skargi do Prezesa Urzędu Ochrony Danych Osobowych, gdy uzna Pani/Pan, że przetwarzanie danych osobowych Pani/Pana dotyczących narusza przepisy RODO; </w:t>
      </w:r>
    </w:p>
    <w:p>
      <w:pPr>
        <w:pStyle w:val="Normal"/>
        <w:widowControl w:val="false"/>
        <w:numPr>
          <w:ilvl w:val="0"/>
          <w:numId w:val="4"/>
        </w:numPr>
        <w:suppressAutoHyphens w:val="true"/>
        <w:spacing w:lineRule="auto" w:line="360"/>
        <w:jc w:val="both"/>
        <w:rPr>
          <w:szCs w:val="22"/>
        </w:rPr>
      </w:pPr>
      <w:r>
        <w:rPr>
          <w:b/>
          <w:bCs/>
          <w:szCs w:val="22"/>
        </w:rPr>
        <w:t xml:space="preserve">nie przysługuje Pani/Panu: </w:t>
      </w:r>
    </w:p>
    <w:p>
      <w:pPr>
        <w:pStyle w:val="Normal"/>
        <w:widowControl w:val="false"/>
        <w:numPr>
          <w:ilvl w:val="0"/>
          <w:numId w:val="6"/>
        </w:numPr>
        <w:suppressAutoHyphens w:val="true"/>
        <w:spacing w:lineRule="auto" w:line="360"/>
        <w:jc w:val="both"/>
        <w:rPr>
          <w:szCs w:val="22"/>
        </w:rPr>
      </w:pPr>
      <w:r>
        <w:rPr>
          <w:b/>
          <w:bCs/>
          <w:szCs w:val="22"/>
        </w:rPr>
        <w:t xml:space="preserve">w związku z art. 17 ust. 3 lit. b, d lub e RODO prawo do usunięcia danych osobowych; </w:t>
      </w:r>
    </w:p>
    <w:p>
      <w:pPr>
        <w:pStyle w:val="Normal"/>
        <w:widowControl w:val="false"/>
        <w:numPr>
          <w:ilvl w:val="0"/>
          <w:numId w:val="6"/>
        </w:numPr>
        <w:suppressAutoHyphens w:val="true"/>
        <w:spacing w:lineRule="auto" w:line="360"/>
        <w:jc w:val="both"/>
        <w:rPr>
          <w:szCs w:val="22"/>
        </w:rPr>
      </w:pPr>
      <w:r>
        <w:rPr>
          <w:szCs w:val="22"/>
        </w:rPr>
        <w:t xml:space="preserve">prawo do przenoszenia danych osobowych, o którym mowa w art. 20 RODO; </w:t>
      </w:r>
    </w:p>
    <w:p>
      <w:pPr>
        <w:pStyle w:val="Normal"/>
        <w:widowControl w:val="false"/>
        <w:numPr>
          <w:ilvl w:val="0"/>
          <w:numId w:val="6"/>
        </w:numPr>
        <w:suppressAutoHyphens w:val="true"/>
        <w:spacing w:lineRule="auto" w:line="360"/>
        <w:jc w:val="both"/>
        <w:rPr>
          <w:szCs w:val="22"/>
        </w:rPr>
      </w:pPr>
      <w:r>
        <w:rPr>
          <w:szCs w:val="22"/>
        </w:rPr>
        <w:t xml:space="preserve">na podstawie art. 21 RODO prawo sprzeciwu, wobec przetwarzania danych osobowych, gdyż podstawą prawną przetwarzania Pani/Pana danych osobowych jest art. 6 ust. 1 lit. c RODO; </w:t>
      </w:r>
    </w:p>
    <w:p>
      <w:pPr>
        <w:pStyle w:val="Normal"/>
        <w:widowControl w:val="false"/>
        <w:numPr>
          <w:ilvl w:val="0"/>
          <w:numId w:val="7"/>
        </w:numPr>
        <w:suppressAutoHyphens w:val="true"/>
        <w:spacing w:lineRule="auto" w:line="360"/>
        <w:jc w:val="both"/>
        <w:rPr>
          <w:szCs w:val="22"/>
        </w:rPr>
      </w:pPr>
      <w:r>
        <w:rPr>
          <w:szCs w:val="22"/>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p>
    <w:p>
      <w:pPr>
        <w:pStyle w:val="Normal"/>
        <w:widowControl w:val="false"/>
        <w:suppressAutoHyphens w:val="true"/>
        <w:spacing w:lineRule="auto" w:line="360"/>
        <w:ind w:left="780" w:hanging="0"/>
        <w:jc w:val="both"/>
        <w:rPr>
          <w:szCs w:val="22"/>
        </w:rPr>
      </w:pPr>
      <w:r>
        <w:rPr>
          <w:szCs w:val="22"/>
        </w:rPr>
      </w:r>
    </w:p>
    <w:p>
      <w:pPr>
        <w:pStyle w:val="Normal"/>
        <w:spacing w:lineRule="auto" w:line="360"/>
        <w:jc w:val="both"/>
        <w:rPr>
          <w:b/>
          <w:b/>
          <w:bCs/>
          <w:iCs/>
          <w:szCs w:val="24"/>
        </w:rPr>
      </w:pPr>
      <w:r>
        <w:rPr>
          <w:b/>
          <w:bCs/>
          <w:iCs/>
          <w:szCs w:val="24"/>
        </w:rPr>
        <w:t>III.</w:t>
        <w:tab/>
        <w:t>TRYB UDZIELENIA ZAMÓWIENIA</w:t>
      </w:r>
    </w:p>
    <w:p>
      <w:pPr>
        <w:pStyle w:val="Normal"/>
        <w:numPr>
          <w:ilvl w:val="0"/>
          <w:numId w:val="8"/>
        </w:numPr>
        <w:spacing w:lineRule="auto" w:line="360"/>
        <w:ind w:left="284" w:hanging="284"/>
        <w:jc w:val="both"/>
        <w:rPr>
          <w:szCs w:val="24"/>
        </w:rPr>
      </w:pPr>
      <w:r>
        <w:rPr>
          <w:szCs w:val="24"/>
        </w:rPr>
        <w:t>Postępowanie prowadzone jest w trybie konkurencyjnego wyboru wykonawców na podstawie wytycznych zawartych w zakresie kwalifikowalności wydatków w ramach Europejskiego Funduszu Rozwoju Regionalnego, Europejskiego Funduszu Społecznego oraz Funduszu Spójności na lata 2014-2020.</w:t>
      </w:r>
      <w:r>
        <w:rPr>
          <w:b/>
          <w:szCs w:val="24"/>
        </w:rPr>
        <w:t xml:space="preserve"> </w:t>
      </w:r>
    </w:p>
    <w:p>
      <w:pPr>
        <w:pStyle w:val="Normal"/>
        <w:spacing w:lineRule="auto" w:line="360"/>
        <w:ind w:left="284" w:hanging="0"/>
        <w:jc w:val="both"/>
        <w:rPr>
          <w:szCs w:val="24"/>
        </w:rPr>
      </w:pPr>
      <w:hyperlink r:id="rId2">
        <w:r>
          <w:rPr>
            <w:rStyle w:val="Czeinternetowe"/>
            <w:szCs w:val="24"/>
          </w:rPr>
          <w:t>https://www.funduszeeuropejskie.gov.pl/strony/o-funduszach/dokumenty/wytyczne-w-zakresiekwalifikowalnosci-wydatkow-w-ramach-europejskiego-funduszu-rozwoju-regionalnego-europejskiegofunduszu-spolecznego-oraz-funduszu-spojnosci-na-lata-2014-2020/</w:t>
        </w:r>
      </w:hyperlink>
      <w:r>
        <w:rPr>
          <w:szCs w:val="24"/>
        </w:rPr>
        <w:t xml:space="preserve">  </w:t>
      </w:r>
    </w:p>
    <w:p>
      <w:pPr>
        <w:pStyle w:val="Normal"/>
        <w:numPr>
          <w:ilvl w:val="0"/>
          <w:numId w:val="8"/>
        </w:numPr>
        <w:spacing w:lineRule="auto" w:line="360"/>
        <w:ind w:left="284" w:hanging="284"/>
        <w:jc w:val="both"/>
        <w:rPr>
          <w:szCs w:val="24"/>
        </w:rPr>
      </w:pPr>
      <w:r>
        <w:rPr>
          <w:szCs w:val="24"/>
        </w:rPr>
        <w:t>Niniejsze zapytanie ofertowe zostanie opublikowane na stronie internetowej   .</w:t>
      </w:r>
    </w:p>
    <w:p>
      <w:pPr>
        <w:pStyle w:val="Normal"/>
        <w:numPr>
          <w:ilvl w:val="0"/>
          <w:numId w:val="8"/>
        </w:numPr>
        <w:spacing w:lineRule="auto" w:line="360"/>
        <w:ind w:left="284" w:hanging="284"/>
        <w:jc w:val="both"/>
        <w:rPr>
          <w:szCs w:val="24"/>
        </w:rPr>
      </w:pPr>
      <w:r>
        <w:rPr>
          <w:szCs w:val="24"/>
        </w:rPr>
        <w:t xml:space="preserve">Zamawiający nie jest podmiotem zobowiązanym do stosowania ustawy </w:t>
      </w:r>
      <w:r>
        <w:rPr/>
        <w:t>z dnia 11 września 2019 r. - Prawo zamówień publicznych (t.j. Dz. U. z 2022 r. poz. 1710 z późn. zm.)</w:t>
      </w:r>
    </w:p>
    <w:p>
      <w:pPr>
        <w:pStyle w:val="Normal"/>
        <w:numPr>
          <w:ilvl w:val="0"/>
          <w:numId w:val="8"/>
        </w:numPr>
        <w:spacing w:lineRule="auto" w:line="360"/>
        <w:ind w:left="284" w:hanging="284"/>
        <w:jc w:val="both"/>
        <w:rPr>
          <w:szCs w:val="24"/>
        </w:rPr>
      </w:pPr>
      <w:r>
        <w:rPr>
          <w:szCs w:val="24"/>
        </w:rPr>
        <w:t>Zmawiający dopuszcza składania ofert częściowych.</w:t>
      </w:r>
    </w:p>
    <w:p>
      <w:pPr>
        <w:pStyle w:val="Normal"/>
        <w:spacing w:lineRule="auto" w:line="360"/>
        <w:ind w:left="284" w:hanging="0"/>
        <w:jc w:val="both"/>
        <w:rPr>
          <w:szCs w:val="24"/>
        </w:rPr>
      </w:pPr>
      <w:r>
        <w:rPr>
          <w:szCs w:val="24"/>
        </w:rPr>
      </w:r>
    </w:p>
    <w:p>
      <w:pPr>
        <w:pStyle w:val="Normal"/>
        <w:spacing w:lineRule="auto" w:line="360"/>
        <w:jc w:val="both"/>
        <w:rPr>
          <w:b/>
          <w:b/>
          <w:szCs w:val="24"/>
        </w:rPr>
      </w:pPr>
      <w:r>
        <w:rPr>
          <w:b/>
          <w:szCs w:val="24"/>
        </w:rPr>
        <w:t>IV.</w:t>
        <w:tab/>
        <w:t>OPIS PRZEDMIOTU ZAMÓWIENIA</w:t>
      </w:r>
    </w:p>
    <w:p>
      <w:pPr>
        <w:pStyle w:val="Normal"/>
        <w:widowControl w:val="false"/>
        <w:numPr>
          <w:ilvl w:val="0"/>
          <w:numId w:val="9"/>
        </w:numPr>
        <w:tabs>
          <w:tab w:val="clear" w:pos="708"/>
          <w:tab w:val="left" w:pos="284" w:leader="none"/>
        </w:tabs>
        <w:suppressAutoHyphens w:val="true"/>
        <w:spacing w:lineRule="auto" w:line="360"/>
        <w:ind w:left="284" w:hanging="284"/>
        <w:jc w:val="both"/>
        <w:rPr>
          <w:rFonts w:eastAsia="Lucida Sans Unicode"/>
          <w:kern w:val="2"/>
          <w:szCs w:val="22"/>
          <w:lang w:eastAsia="hi-IN" w:bidi="hi-IN"/>
        </w:rPr>
      </w:pPr>
      <w:r>
        <w:rPr>
          <w:rFonts w:eastAsia="Lucida Sans Unicode"/>
          <w:color w:val="000000"/>
          <w:kern w:val="2"/>
          <w:szCs w:val="22"/>
          <w:lang w:eastAsia="hi-IN" w:bidi="hi-IN"/>
        </w:rPr>
        <w:t xml:space="preserve">Przedmiotem zamówienia jest modernizacja oprogramowania medycznego oraz dostawa i instalacja infrastruktury IT w ramach projektu „Wdrożenie e-usług w placówkach POZ i ich integracja z systemem e-zdrowia (akronim „e-usługi POZ”)”, </w:t>
      </w:r>
      <w:r>
        <w:rPr>
          <w:rFonts w:eastAsia="Lucida Sans Unicode"/>
          <w:kern w:val="2"/>
          <w:szCs w:val="22"/>
          <w:lang w:eastAsia="hi-IN" w:bidi="hi-IN"/>
        </w:rPr>
        <w:t xml:space="preserve">w  ilościach podanych w formularzu ofertowym  cenowym stanowiącym załącznik nr 1 do ZO oraz formularzem parametrów technicznych (załącznik nr 1A do ZO) zgodnych projektowanymi postanowieniami umowy stanowiącymi załącznik nr 4 do ZO.  </w:t>
      </w:r>
    </w:p>
    <w:p>
      <w:pPr>
        <w:pStyle w:val="Normal"/>
        <w:widowControl w:val="false"/>
        <w:numPr>
          <w:ilvl w:val="0"/>
          <w:numId w:val="9"/>
        </w:numPr>
        <w:tabs>
          <w:tab w:val="clear" w:pos="708"/>
          <w:tab w:val="left" w:pos="284" w:leader="none"/>
        </w:tabs>
        <w:suppressAutoHyphens w:val="true"/>
        <w:spacing w:lineRule="auto" w:line="360"/>
        <w:ind w:left="284" w:hanging="284"/>
        <w:jc w:val="both"/>
        <w:rPr>
          <w:rFonts w:eastAsia="Lucida Sans Unicode"/>
          <w:color w:val="000000"/>
          <w:kern w:val="2"/>
          <w:szCs w:val="22"/>
          <w:lang w:eastAsia="hi-IN" w:bidi="hi-IN"/>
        </w:rPr>
      </w:pPr>
      <w:r>
        <w:rPr>
          <w:rFonts w:eastAsia="Lucida Sans Unicode"/>
          <w:kern w:val="2"/>
          <w:szCs w:val="22"/>
          <w:lang w:eastAsia="hi-IN" w:bidi="hi-IN"/>
        </w:rPr>
        <w:t>Przedmiot zamówienia podzielony jest na następujące pakiety:</w:t>
      </w:r>
    </w:p>
    <w:p>
      <w:pPr>
        <w:pStyle w:val="Normal"/>
        <w:widowControl w:val="false"/>
        <w:tabs>
          <w:tab w:val="clear" w:pos="708"/>
          <w:tab w:val="left" w:pos="284" w:leader="none"/>
        </w:tabs>
        <w:suppressAutoHyphens w:val="true"/>
        <w:spacing w:lineRule="auto" w:line="360"/>
        <w:ind w:firstLine="284"/>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Pakiet nr 1</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Modernizacja/zakup oprogramowania medycznego</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Pakiet nr 2</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1. Przełącznik (switch)</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2. Serwer aplikacyjny wraz z oprogramowaniem (oprogramowanie systemowe i wirtualizacyjne)</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val="en-US" w:eastAsia="hi-IN" w:bidi="hi-IN"/>
        </w:rPr>
      </w:pPr>
      <w:r>
        <w:rPr>
          <w:rFonts w:eastAsia="Lucida Sans Unicode"/>
          <w:color w:val="000000"/>
          <w:kern w:val="2"/>
          <w:szCs w:val="22"/>
          <w:lang w:val="en-US" w:eastAsia="hi-IN" w:bidi="hi-IN"/>
        </w:rPr>
        <w:t>3. Serwer NAS</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val="en-US" w:eastAsia="hi-IN" w:bidi="hi-IN"/>
        </w:rPr>
      </w:pPr>
      <w:r>
        <w:rPr>
          <w:rFonts w:eastAsia="Lucida Sans Unicode"/>
          <w:color w:val="000000"/>
          <w:kern w:val="2"/>
          <w:szCs w:val="22"/>
          <w:lang w:val="en-US" w:eastAsia="hi-IN" w:bidi="hi-IN"/>
        </w:rPr>
        <w:t xml:space="preserve">4. Komputer All in ONE – 3 szt. </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val="en-US" w:eastAsia="hi-IN" w:bidi="hi-IN"/>
        </w:rPr>
      </w:pPr>
      <w:r>
        <w:rPr>
          <w:rFonts w:eastAsia="Lucida Sans Unicode"/>
          <w:color w:val="000000"/>
          <w:kern w:val="2"/>
          <w:szCs w:val="22"/>
          <w:lang w:val="en-US" w:eastAsia="hi-IN" w:bidi="hi-IN"/>
        </w:rPr>
        <w:t xml:space="preserve">5. Laptop – 2 szt. </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 xml:space="preserve">6. Instalacja komputerów, laptopów, skanerów oraz instruktarz dla użytkowników – 8 stanowisk </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7. UPS – 3 szt.</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8. Urządzenie wielofunkcyjne do gabinetów lekarskich – 3 szt.</w:t>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r>
    </w:p>
    <w:p>
      <w:pPr>
        <w:pStyle w:val="Normal"/>
        <w:widowControl w:val="false"/>
        <w:tabs>
          <w:tab w:val="clear" w:pos="708"/>
          <w:tab w:val="left" w:pos="284" w:leader="none"/>
        </w:tabs>
        <w:suppressAutoHyphens w:val="true"/>
        <w:spacing w:lineRule="auto" w:line="360"/>
        <w:ind w:left="284" w:hanging="0"/>
        <w:jc w:val="both"/>
        <w:rPr>
          <w:rFonts w:eastAsia="Lucida Sans Unicode"/>
          <w:color w:val="000000"/>
          <w:kern w:val="2"/>
          <w:szCs w:val="22"/>
          <w:lang w:eastAsia="hi-IN" w:bidi="hi-IN"/>
        </w:rPr>
      </w:pPr>
      <w:r>
        <w:rPr>
          <w:rFonts w:eastAsia="Lucida Sans Unicode"/>
          <w:color w:val="000000"/>
          <w:kern w:val="2"/>
          <w:szCs w:val="22"/>
          <w:lang w:eastAsia="hi-IN" w:bidi="hi-IN"/>
        </w:rPr>
        <w:t xml:space="preserve">Wykonawca może złożyć ofertę na jeden, kilka lub wszystkie pakiety. Szczegółowe opisy poszczególnych części zamówienia zawarto w </w:t>
      </w:r>
      <w:r>
        <w:rPr>
          <w:rFonts w:eastAsia="Lucida Sans Unicode"/>
          <w:b/>
          <w:bCs/>
          <w:color w:val="000000"/>
          <w:kern w:val="2"/>
          <w:szCs w:val="22"/>
          <w:lang w:eastAsia="hi-IN" w:bidi="hi-IN"/>
        </w:rPr>
        <w:t>załączniku nr 1A do SWZ (formularz parametrów technicznych)</w:t>
      </w:r>
      <w:r>
        <w:rPr>
          <w:rFonts w:eastAsia="Lucida Sans Unicode"/>
          <w:color w:val="000000"/>
          <w:kern w:val="2"/>
          <w:szCs w:val="22"/>
          <w:lang w:eastAsia="hi-IN" w:bidi="hi-IN"/>
        </w:rPr>
        <w:t>, który po wypełnieniu i podpisaniu należy załączyć do oferty</w:t>
      </w:r>
    </w:p>
    <w:p>
      <w:pPr>
        <w:pStyle w:val="Normal"/>
        <w:widowControl w:val="false"/>
        <w:numPr>
          <w:ilvl w:val="0"/>
          <w:numId w:val="9"/>
        </w:numPr>
        <w:tabs>
          <w:tab w:val="clear" w:pos="708"/>
          <w:tab w:val="left" w:pos="284" w:leader="none"/>
        </w:tabs>
        <w:suppressAutoHyphens w:val="true"/>
        <w:spacing w:lineRule="auto" w:line="360"/>
        <w:ind w:left="284" w:hanging="284"/>
        <w:jc w:val="both"/>
        <w:rPr>
          <w:rFonts w:eastAsia="Lucida Sans Unicode"/>
          <w:color w:val="000000"/>
          <w:kern w:val="2"/>
          <w:szCs w:val="18"/>
          <w:lang w:eastAsia="hi-IN" w:bidi="hi-IN"/>
        </w:rPr>
      </w:pPr>
      <w:r>
        <w:rPr>
          <w:rFonts w:eastAsia="Lucida Sans Unicode"/>
          <w:kern w:val="2"/>
          <w:szCs w:val="22"/>
          <w:lang w:eastAsia="hi-IN" w:bidi="hi-IN"/>
        </w:rPr>
        <w:t>Kod Wspólnego Słownika Zamówień CPV:</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72262000-9: Usługi rozbudowy oprogramowania</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48190000-3: Pakiety oprogramowania medycznego</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35100000-5: Urządzenia awaryjne i zabezpieczające</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48820000-2: Serwery</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48823000-3: Serwery plików</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 xml:space="preserve">48620000-0: Systemy operacyjne </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48781000-6: Pakiety oprogramowania do zarządzania systemem</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31214100-0: Przełączniki</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32420000-3: Urządzenia sieciowe</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30214000-2: Stacja robocza</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33195100-4: Monitor komputerowy</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30213100-6: Komputery przenośne</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72228000-9: Usługi w zakresie integrowania urządzeń komputerowych</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51600000-8: Usługi instalowania komputerów i urządzeń biurowych</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30216110-0: Skanery komputerowe</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30121300-6: Urządzenia do powielania</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t>72319000-4: Usługi przechowywania danych</w:t>
      </w:r>
    </w:p>
    <w:p>
      <w:pPr>
        <w:pStyle w:val="Normal"/>
        <w:widowControl w:val="false"/>
        <w:tabs>
          <w:tab w:val="clear" w:pos="708"/>
          <w:tab w:val="left" w:pos="284" w:leader="none"/>
        </w:tabs>
        <w:suppressAutoHyphens w:val="true"/>
        <w:spacing w:lineRule="auto" w:line="360"/>
        <w:jc w:val="both"/>
        <w:rPr>
          <w:rFonts w:eastAsia="Lucida Sans Unicode"/>
          <w:b/>
          <w:b/>
          <w:bCs/>
          <w:kern w:val="2"/>
          <w:szCs w:val="22"/>
          <w:lang w:eastAsia="hi-IN" w:bidi="hi-IN"/>
        </w:rPr>
      </w:pPr>
      <w:r>
        <w:rPr>
          <w:rFonts w:eastAsia="Lucida Sans Unicode"/>
          <w:b/>
          <w:bCs/>
          <w:kern w:val="2"/>
          <w:szCs w:val="22"/>
          <w:lang w:eastAsia="hi-IN" w:bidi="hi-IN"/>
        </w:rPr>
      </w:r>
    </w:p>
    <w:p>
      <w:pPr>
        <w:pStyle w:val="Normal"/>
        <w:widowControl w:val="false"/>
        <w:numPr>
          <w:ilvl w:val="0"/>
          <w:numId w:val="9"/>
        </w:numPr>
        <w:tabs>
          <w:tab w:val="clear" w:pos="708"/>
          <w:tab w:val="left" w:pos="284" w:leader="none"/>
        </w:tabs>
        <w:suppressAutoHyphens w:val="true"/>
        <w:spacing w:lineRule="auto" w:line="360"/>
        <w:ind w:left="284" w:hanging="284"/>
        <w:jc w:val="both"/>
        <w:rPr>
          <w:rFonts w:eastAsia="Lucida Sans Unicode"/>
          <w:b/>
          <w:b/>
          <w:kern w:val="2"/>
          <w:sz w:val="22"/>
          <w:szCs w:val="22"/>
          <w:lang w:eastAsia="hi-IN" w:bidi="hi-IN"/>
        </w:rPr>
      </w:pPr>
      <w:r>
        <w:rPr>
          <w:rFonts w:eastAsia="Lucida Sans Unicode"/>
          <w:b/>
          <w:bCs/>
          <w:kern w:val="2"/>
          <w:szCs w:val="24"/>
          <w:lang w:eastAsia="hi-IN" w:bidi="hi-IN"/>
        </w:rPr>
        <w:t>Równoważność</w:t>
      </w:r>
      <w:r>
        <w:rPr>
          <w:rFonts w:eastAsia="Lucida Sans Unicode"/>
          <w:bCs/>
          <w:kern w:val="2"/>
          <w:szCs w:val="24"/>
          <w:lang w:eastAsia="hi-IN" w:bidi="hi-IN"/>
        </w:rPr>
        <w:t xml:space="preserve"> - Zamawiający informuje, że tam, gdzie w Zapytaniu Ofertowym wraz załącznikami został wskazany znak towarowy, patent, pochodzenie, źródło lub szczególny proces (który charakteryzuje produkty lub usługi dostarczane przez konkretnego Wykonawcę), normy polskie  PN przenoszące normy europejskie lub międzynarodowe, europejskie normy lub oceny techniczne, aprobaty, wspólne specyfikacje techniczne lub systemy referencji technicznych,  Zamawiający dopuszcza rozwiązanie równoważne opisywanym pod warunkiem, że będą one o nie gorszych właściwościach i jakości. Zamawiający dopuszcza składanie ofert równoważnych. Ewentualne użycie w dokumentacji określeń i nazw własnych ma jedynie charakter przykładowy i służy określeniu klasy i jakości materiałów. Jeżeli w opisie przedmiotu zamówienia znajdują się wskazania przykładowych znaków towarowych, patentów lub pochodzenia, źródła lub szczególnego procesu (który charakteryzuje produkty lub usługi dostarczane przez konkretnego Wykonawcę), Wykonawca może zaoferować przedmioty równoważne. Zamawiający wymaga, aby użyte materiały, o ile są inne, posiadały parametry jakościowe i techniczne oraz standardy nie gorsze niż określone w przedmiocie zamówienia. Wykonawca jest zobowiązany udowodnić w ofercie, w szczególności za pomocą przedmiotowych środków dowodowych, że proponowane rozwiązania w równoważnym stopniu spełniają wymagania określone w opisie przedmiotu zamówienia. Istotne dla Zamawiającego cechy i parametry, to takie, które pozwolą zachować wszystkim systemom, urządzeniom, wyrobom, parametry i cechy pozwalające przede wszystkim na prawidłowa współprace z innymi urządzeniami i/lub wyrobami w sposób założony przez Zamawiającego oraz pozwalające przy tym uzyskać parametry nie gorsze od założonych w Złączniku nr 1A do ZO. </w:t>
      </w:r>
      <w:r>
        <w:rPr>
          <w:rFonts w:eastAsia="Lucida Sans Unicode"/>
          <w:b/>
          <w:bCs/>
          <w:kern w:val="2"/>
          <w:szCs w:val="24"/>
          <w:lang w:eastAsia="hi-IN" w:bidi="hi-IN"/>
        </w:rPr>
        <w:t xml:space="preserve">Ciężar udowodnienia równoważności spoczywa na Wykonawcy. </w:t>
      </w:r>
    </w:p>
    <w:p>
      <w:pPr>
        <w:pStyle w:val="Normal"/>
        <w:widowControl w:val="false"/>
        <w:tabs>
          <w:tab w:val="clear" w:pos="708"/>
          <w:tab w:val="left" w:pos="284" w:leader="none"/>
        </w:tabs>
        <w:suppressAutoHyphens w:val="true"/>
        <w:spacing w:lineRule="auto" w:line="360"/>
        <w:ind w:left="284" w:hanging="0"/>
        <w:jc w:val="both"/>
        <w:rPr>
          <w:rFonts w:eastAsia="Lucida Sans Unicode"/>
          <w:b/>
          <w:b/>
          <w:kern w:val="2"/>
          <w:sz w:val="22"/>
          <w:szCs w:val="22"/>
          <w:lang w:eastAsia="hi-IN" w:bidi="hi-IN"/>
        </w:rPr>
      </w:pPr>
      <w:r>
        <w:rPr>
          <w:rFonts w:eastAsia="Lucida Sans Unicode"/>
          <w:b/>
          <w:kern w:val="2"/>
          <w:sz w:val="22"/>
          <w:szCs w:val="22"/>
          <w:lang w:eastAsia="hi-IN" w:bidi="hi-IN"/>
        </w:rPr>
      </w:r>
    </w:p>
    <w:p>
      <w:pPr>
        <w:pStyle w:val="Normal"/>
        <w:widowControl w:val="false"/>
        <w:tabs>
          <w:tab w:val="clear" w:pos="708"/>
          <w:tab w:val="left" w:pos="284" w:leader="none"/>
        </w:tabs>
        <w:suppressAutoHyphens w:val="true"/>
        <w:spacing w:lineRule="auto" w:line="360"/>
        <w:jc w:val="both"/>
        <w:rPr>
          <w:rFonts w:eastAsia="Lucida Sans Unicode"/>
          <w:b/>
          <w:b/>
          <w:kern w:val="2"/>
          <w:sz w:val="22"/>
          <w:szCs w:val="22"/>
          <w:lang w:eastAsia="hi-IN" w:bidi="hi-IN"/>
        </w:rPr>
      </w:pPr>
      <w:r>
        <w:rPr>
          <w:rFonts w:eastAsia="Lucida Sans Unicode"/>
          <w:b/>
          <w:kern w:val="2"/>
          <w:sz w:val="22"/>
          <w:szCs w:val="22"/>
          <w:lang w:eastAsia="hi-IN" w:bidi="hi-IN"/>
        </w:rPr>
        <w:t>V.</w:t>
        <w:tab/>
        <w:t xml:space="preserve">PODWYKONAWSTWO </w:t>
      </w:r>
    </w:p>
    <w:p>
      <w:pPr>
        <w:pStyle w:val="Normal"/>
        <w:widowControl w:val="false"/>
        <w:numPr>
          <w:ilvl w:val="0"/>
          <w:numId w:val="10"/>
        </w:numPr>
        <w:tabs>
          <w:tab w:val="clear" w:pos="708"/>
          <w:tab w:val="left" w:pos="284" w:leader="none"/>
        </w:tabs>
        <w:suppressAutoHyphens w:val="true"/>
        <w:spacing w:lineRule="auto" w:line="360"/>
        <w:ind w:left="284" w:hanging="284"/>
        <w:jc w:val="both"/>
        <w:rPr>
          <w:rFonts w:eastAsia="Lucida Sans Unicode"/>
          <w:kern w:val="2"/>
          <w:sz w:val="22"/>
          <w:szCs w:val="22"/>
          <w:lang w:eastAsia="hi-IN" w:bidi="hi-IN"/>
        </w:rPr>
      </w:pPr>
      <w:r>
        <w:rPr>
          <w:rFonts w:eastAsia="Lucida Sans Unicode"/>
          <w:kern w:val="2"/>
          <w:sz w:val="22"/>
          <w:szCs w:val="22"/>
          <w:lang w:eastAsia="hi-IN" w:bidi="hi-IN"/>
        </w:rPr>
        <w:t xml:space="preserve">Wykonawca może powierzyć wykonanie części zamówienia podwykonawcy (podwykonawcom). </w:t>
      </w:r>
    </w:p>
    <w:p>
      <w:pPr>
        <w:pStyle w:val="Normal"/>
        <w:widowControl w:val="false"/>
        <w:numPr>
          <w:ilvl w:val="0"/>
          <w:numId w:val="10"/>
        </w:numPr>
        <w:tabs>
          <w:tab w:val="clear" w:pos="708"/>
          <w:tab w:val="left" w:pos="284" w:leader="none"/>
        </w:tabs>
        <w:suppressAutoHyphens w:val="true"/>
        <w:spacing w:lineRule="auto" w:line="360"/>
        <w:ind w:left="284" w:hanging="284"/>
        <w:jc w:val="both"/>
        <w:rPr>
          <w:rFonts w:eastAsia="Lucida Sans Unicode"/>
          <w:kern w:val="2"/>
          <w:sz w:val="22"/>
          <w:szCs w:val="22"/>
          <w:lang w:eastAsia="hi-IN" w:bidi="hi-IN"/>
        </w:rPr>
      </w:pPr>
      <w:r>
        <w:rPr>
          <w:rFonts w:eastAsia="Lucida Sans Unicode"/>
          <w:kern w:val="2"/>
          <w:sz w:val="22"/>
          <w:szCs w:val="22"/>
          <w:lang w:eastAsia="hi-IN" w:bidi="hi-IN"/>
        </w:rPr>
        <w:t xml:space="preserve">Zamawiający nie zastrzega obowiązku osobistego wykonania przez Wykonawcę kluczowych części zamówienia. </w:t>
      </w:r>
    </w:p>
    <w:p>
      <w:pPr>
        <w:pStyle w:val="Normal"/>
        <w:widowControl w:val="false"/>
        <w:numPr>
          <w:ilvl w:val="0"/>
          <w:numId w:val="10"/>
        </w:numPr>
        <w:tabs>
          <w:tab w:val="clear" w:pos="708"/>
          <w:tab w:val="left" w:pos="284" w:leader="none"/>
        </w:tabs>
        <w:suppressAutoHyphens w:val="true"/>
        <w:spacing w:lineRule="auto" w:line="360"/>
        <w:ind w:left="284" w:hanging="284"/>
        <w:jc w:val="both"/>
        <w:rPr>
          <w:rFonts w:eastAsia="Lucida Sans Unicode"/>
          <w:kern w:val="2"/>
          <w:sz w:val="22"/>
          <w:szCs w:val="22"/>
          <w:lang w:eastAsia="hi-IN" w:bidi="hi-IN"/>
        </w:rPr>
      </w:pPr>
      <w:r>
        <w:rPr>
          <w:rFonts w:eastAsia="Lucida Sans Unicode"/>
          <w:kern w:val="2"/>
          <w:sz w:val="22"/>
          <w:szCs w:val="22"/>
          <w:lang w:eastAsia="hi-IN" w:bidi="hi-I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Pr>
          <w:rFonts w:eastAsia="Lucida Sans Unicode"/>
          <w:b/>
          <w:kern w:val="2"/>
          <w:sz w:val="22"/>
          <w:szCs w:val="22"/>
          <w:lang w:eastAsia="hi-IN" w:bidi="hi-IN"/>
        </w:rPr>
        <w:t>.</w:t>
      </w:r>
    </w:p>
    <w:p>
      <w:pPr>
        <w:pStyle w:val="Normal"/>
        <w:widowControl w:val="false"/>
        <w:tabs>
          <w:tab w:val="clear" w:pos="708"/>
          <w:tab w:val="left" w:pos="284" w:leader="none"/>
        </w:tabs>
        <w:suppressAutoHyphens w:val="true"/>
        <w:spacing w:lineRule="auto" w:line="360"/>
        <w:ind w:left="284" w:hanging="0"/>
        <w:jc w:val="both"/>
        <w:rPr>
          <w:rFonts w:eastAsia="Lucida Sans Unicode"/>
          <w:kern w:val="2"/>
          <w:sz w:val="22"/>
          <w:szCs w:val="22"/>
          <w:lang w:eastAsia="hi-IN" w:bidi="hi-IN"/>
        </w:rPr>
      </w:pPr>
      <w:r>
        <w:rPr>
          <w:rFonts w:eastAsia="Lucida Sans Unicode"/>
          <w:kern w:val="2"/>
          <w:sz w:val="22"/>
          <w:szCs w:val="22"/>
          <w:lang w:eastAsia="hi-IN" w:bidi="hi-IN"/>
        </w:rPr>
      </w:r>
    </w:p>
    <w:p>
      <w:pPr>
        <w:pStyle w:val="Normal"/>
        <w:widowControl w:val="false"/>
        <w:numPr>
          <w:ilvl w:val="0"/>
          <w:numId w:val="11"/>
        </w:numPr>
        <w:suppressAutoHyphens w:val="true"/>
        <w:spacing w:lineRule="auto" w:line="360"/>
        <w:ind w:left="567" w:hanging="425"/>
        <w:jc w:val="both"/>
        <w:rPr>
          <w:b/>
          <w:b/>
          <w:szCs w:val="22"/>
        </w:rPr>
      </w:pPr>
      <w:r>
        <w:rPr>
          <w:b/>
          <w:szCs w:val="22"/>
        </w:rPr>
        <w:t xml:space="preserve">TERMIN WYKONANIA ZAMÓWIENIA </w:t>
      </w:r>
    </w:p>
    <w:p>
      <w:pPr>
        <w:pStyle w:val="Normal"/>
        <w:widowControl w:val="false"/>
        <w:numPr>
          <w:ilvl w:val="0"/>
          <w:numId w:val="12"/>
        </w:numPr>
        <w:suppressAutoHyphens w:val="true"/>
        <w:spacing w:lineRule="auto" w:line="360"/>
        <w:ind w:left="284" w:hanging="284"/>
        <w:jc w:val="both"/>
        <w:rPr>
          <w:b/>
          <w:b/>
          <w:szCs w:val="22"/>
        </w:rPr>
      </w:pPr>
      <w:r>
        <w:rPr>
          <w:szCs w:val="22"/>
        </w:rPr>
        <w:t xml:space="preserve">Termin realizacji zamówienia wynosi: </w:t>
      </w:r>
      <w:r>
        <w:rPr>
          <w:b/>
          <w:szCs w:val="22"/>
        </w:rPr>
        <w:t>60 dni od dnia zawarcia umowy.</w:t>
      </w:r>
      <w:r>
        <w:rPr>
          <w:szCs w:val="22"/>
        </w:rPr>
        <w:t xml:space="preserve"> </w:t>
      </w:r>
    </w:p>
    <w:p>
      <w:pPr>
        <w:pStyle w:val="Normal"/>
        <w:widowControl w:val="false"/>
        <w:numPr>
          <w:ilvl w:val="0"/>
          <w:numId w:val="12"/>
        </w:numPr>
        <w:suppressAutoHyphens w:val="true"/>
        <w:spacing w:lineRule="auto" w:line="360"/>
        <w:ind w:left="284" w:hanging="284"/>
        <w:jc w:val="both"/>
        <w:rPr>
          <w:b/>
          <w:b/>
          <w:szCs w:val="22"/>
        </w:rPr>
      </w:pPr>
      <w:r>
        <w:rPr>
          <w:szCs w:val="22"/>
        </w:rPr>
        <w:t>Szczegółowe zagadnienia dotyczące terminu realizacji umowy uregulowane są we wzorze umowy stanowiącej załącznik nr 4 do ZO.</w:t>
      </w:r>
    </w:p>
    <w:p>
      <w:pPr>
        <w:pStyle w:val="Normal"/>
        <w:widowControl w:val="false"/>
        <w:suppressAutoHyphens w:val="true"/>
        <w:spacing w:lineRule="auto" w:line="360"/>
        <w:ind w:left="284" w:hanging="0"/>
        <w:jc w:val="both"/>
        <w:rPr>
          <w:b/>
          <w:b/>
          <w:szCs w:val="22"/>
        </w:rPr>
      </w:pPr>
      <w:r>
        <w:rPr>
          <w:b/>
          <w:szCs w:val="22"/>
        </w:rPr>
      </w:r>
    </w:p>
    <w:p>
      <w:pPr>
        <w:pStyle w:val="Normal"/>
        <w:widowControl w:val="false"/>
        <w:numPr>
          <w:ilvl w:val="0"/>
          <w:numId w:val="11"/>
        </w:numPr>
        <w:suppressAutoHyphens w:val="true"/>
        <w:spacing w:lineRule="auto" w:line="360"/>
        <w:ind w:left="567" w:hanging="425"/>
        <w:jc w:val="both"/>
        <w:rPr>
          <w:szCs w:val="22"/>
        </w:rPr>
      </w:pPr>
      <w:r>
        <w:rPr>
          <w:b/>
          <w:bCs/>
          <w:szCs w:val="22"/>
        </w:rPr>
        <w:t xml:space="preserve">WARUNKI UDZIAŁU W POSTĘPOWANIU </w:t>
      </w:r>
    </w:p>
    <w:p>
      <w:pPr>
        <w:pStyle w:val="Normal"/>
        <w:widowControl w:val="false"/>
        <w:numPr>
          <w:ilvl w:val="0"/>
          <w:numId w:val="13"/>
        </w:numPr>
        <w:suppressAutoHyphens w:val="true"/>
        <w:spacing w:lineRule="auto" w:line="360"/>
        <w:ind w:left="284" w:hanging="284"/>
        <w:jc w:val="both"/>
        <w:rPr>
          <w:szCs w:val="22"/>
        </w:rPr>
      </w:pPr>
      <w:r>
        <w:rPr>
          <w:szCs w:val="22"/>
        </w:rPr>
        <w:t xml:space="preserve">O udzielenie zamówienia mogą ubiegać się Wykonawcy, którzy nie podlegają wykluczeniu na zasadach określonych w Rozdziale VIII ZO, oraz spełniają określone przez Zamawiającego warunki udziału w postępowaniu. </w:t>
      </w:r>
    </w:p>
    <w:p>
      <w:pPr>
        <w:pStyle w:val="Normal"/>
        <w:widowControl w:val="false"/>
        <w:numPr>
          <w:ilvl w:val="0"/>
          <w:numId w:val="13"/>
        </w:numPr>
        <w:suppressAutoHyphens w:val="true"/>
        <w:spacing w:lineRule="auto" w:line="360"/>
        <w:ind w:left="284" w:hanging="284"/>
        <w:jc w:val="both"/>
        <w:rPr>
          <w:szCs w:val="22"/>
        </w:rPr>
      </w:pPr>
      <w:r>
        <w:rPr>
          <w:b/>
          <w:bCs/>
          <w:szCs w:val="22"/>
        </w:rPr>
        <w:t xml:space="preserve">O udzielenie zamówienia mogą ubiegać się Wykonawcy, którzy spełniają warunki dotyczące: </w:t>
      </w:r>
    </w:p>
    <w:p>
      <w:pPr>
        <w:pStyle w:val="Normal"/>
        <w:widowControl w:val="false"/>
        <w:numPr>
          <w:ilvl w:val="0"/>
          <w:numId w:val="14"/>
        </w:numPr>
        <w:suppressAutoHyphens w:val="true"/>
        <w:spacing w:lineRule="auto" w:line="360"/>
        <w:ind w:left="851" w:hanging="425"/>
        <w:jc w:val="both"/>
        <w:rPr>
          <w:szCs w:val="22"/>
        </w:rPr>
      </w:pPr>
      <w:r>
        <w:rPr>
          <w:b/>
          <w:bCs/>
          <w:color w:val="000000"/>
          <w:szCs w:val="22"/>
        </w:rPr>
        <w:t xml:space="preserve">zdolności do występowania w obrocie gospodarczym: </w:t>
      </w:r>
    </w:p>
    <w:p>
      <w:pPr>
        <w:pStyle w:val="Normal"/>
        <w:spacing w:lineRule="auto" w:line="360"/>
        <w:ind w:left="1004" w:hanging="0"/>
        <w:jc w:val="both"/>
        <w:rPr>
          <w:szCs w:val="22"/>
        </w:rPr>
      </w:pPr>
      <w:r>
        <w:rPr>
          <w:szCs w:val="22"/>
        </w:rPr>
        <w:t>Warunek zostanie spełniony, jeżeli wykonawcy prowadzący działalność gospodarczą lub zawodową będą wpisani do jednego z rejestrów zawodowych lub handlowych prowadzonych w kraju, w którym mają siedzibę lub miejsce zamieszkania (np. KRS CDEIG w Polsce)</w:t>
      </w:r>
    </w:p>
    <w:p>
      <w:pPr>
        <w:pStyle w:val="Normal"/>
        <w:widowControl w:val="false"/>
        <w:numPr>
          <w:ilvl w:val="0"/>
          <w:numId w:val="14"/>
        </w:numPr>
        <w:suppressAutoHyphens w:val="true"/>
        <w:spacing w:lineRule="auto" w:line="360"/>
        <w:jc w:val="both"/>
        <w:rPr>
          <w:szCs w:val="22"/>
        </w:rPr>
      </w:pPr>
      <w:r>
        <w:rPr>
          <w:b/>
          <w:bCs/>
          <w:szCs w:val="22"/>
        </w:rPr>
        <w:t xml:space="preserve">uprawnień do prowadzenia określonej działalności gospodarczej lub zawodowej, o ile wynika to z odrębnych przepisów: </w:t>
      </w:r>
    </w:p>
    <w:p>
      <w:pPr>
        <w:pStyle w:val="Normal"/>
        <w:spacing w:lineRule="auto" w:line="360"/>
        <w:ind w:left="1004" w:hanging="0"/>
        <w:jc w:val="both"/>
        <w:rPr>
          <w:szCs w:val="22"/>
        </w:rPr>
      </w:pPr>
      <w:r>
        <w:rPr>
          <w:szCs w:val="22"/>
        </w:rPr>
        <w:t xml:space="preserve">Zamawiający nie stawia warunku w powyższym zakresie. </w:t>
      </w:r>
    </w:p>
    <w:p>
      <w:pPr>
        <w:pStyle w:val="Normal"/>
        <w:widowControl w:val="false"/>
        <w:numPr>
          <w:ilvl w:val="0"/>
          <w:numId w:val="14"/>
        </w:numPr>
        <w:suppressAutoHyphens w:val="true"/>
        <w:spacing w:lineRule="auto" w:line="360"/>
        <w:jc w:val="both"/>
        <w:rPr>
          <w:szCs w:val="22"/>
        </w:rPr>
      </w:pPr>
      <w:r>
        <w:rPr>
          <w:b/>
          <w:bCs/>
          <w:szCs w:val="22"/>
        </w:rPr>
        <w:t xml:space="preserve">sytuacji ekonomicznej lub finansowej: </w:t>
      </w:r>
    </w:p>
    <w:p>
      <w:pPr>
        <w:pStyle w:val="Normal"/>
        <w:spacing w:lineRule="auto" w:line="360"/>
        <w:ind w:left="1004" w:hanging="0"/>
        <w:jc w:val="both"/>
        <w:rPr>
          <w:szCs w:val="22"/>
        </w:rPr>
      </w:pPr>
      <w:r>
        <w:rPr>
          <w:szCs w:val="22"/>
        </w:rPr>
        <w:t xml:space="preserve">Zamawiający nie stawia warunku w powyższym zakresie. </w:t>
      </w:r>
    </w:p>
    <w:p>
      <w:pPr>
        <w:pStyle w:val="Normal"/>
        <w:widowControl w:val="false"/>
        <w:numPr>
          <w:ilvl w:val="0"/>
          <w:numId w:val="14"/>
        </w:numPr>
        <w:suppressAutoHyphens w:val="true"/>
        <w:spacing w:lineRule="auto" w:line="360"/>
        <w:jc w:val="both"/>
        <w:rPr>
          <w:szCs w:val="22"/>
        </w:rPr>
      </w:pPr>
      <w:r>
        <w:rPr>
          <w:b/>
          <w:bCs/>
          <w:szCs w:val="22"/>
        </w:rPr>
        <w:t xml:space="preserve">zdolności technicznej lub zawodowej: </w:t>
      </w:r>
    </w:p>
    <w:p>
      <w:pPr>
        <w:pStyle w:val="Normal"/>
        <w:spacing w:lineRule="auto" w:line="360"/>
        <w:ind w:left="1004" w:hanging="0"/>
        <w:jc w:val="both"/>
        <w:rPr>
          <w:szCs w:val="22"/>
        </w:rPr>
      </w:pPr>
      <w:r>
        <w:rPr>
          <w:szCs w:val="22"/>
        </w:rPr>
        <w:t xml:space="preserve">Zamawiający nie stawia warunku w powyższym zakresie. </w:t>
      </w:r>
    </w:p>
    <w:p>
      <w:pPr>
        <w:pStyle w:val="Normal"/>
        <w:widowControl w:val="false"/>
        <w:numPr>
          <w:ilvl w:val="0"/>
          <w:numId w:val="13"/>
        </w:numPr>
        <w:suppressAutoHyphens w:val="true"/>
        <w:spacing w:lineRule="auto" w:line="360"/>
        <w:ind w:left="284" w:hanging="284"/>
        <w:jc w:val="both"/>
        <w:rPr>
          <w:szCs w:val="22"/>
        </w:rPr>
      </w:pPr>
      <w:r>
        <w:rPr>
          <w:szCs w:val="22"/>
        </w:rPr>
        <w:t xml:space="preserve">Zamawiający, w stosunku do Wykonawców wspólnie ubiegających się o udzielenie zamówienia, w odniesieniu do warunku dotyczącego zdolności technicznej lub zawodowej – dopuszcza łączne spełnianie warunku przez Wykonawców. </w:t>
      </w:r>
    </w:p>
    <w:p>
      <w:pPr>
        <w:pStyle w:val="Normal"/>
        <w:widowControl w:val="false"/>
        <w:numPr>
          <w:ilvl w:val="0"/>
          <w:numId w:val="13"/>
        </w:numPr>
        <w:suppressAutoHyphens w:val="true"/>
        <w:spacing w:lineRule="auto" w:line="360" w:before="0" w:after="0"/>
        <w:ind w:left="284" w:hanging="284"/>
        <w:jc w:val="both"/>
        <w:rPr>
          <w:rFonts w:ascii="Arial" w:hAnsi="Arial" w:cs="Arial"/>
          <w:sz w:val="22"/>
          <w:szCs w:val="22"/>
        </w:rPr>
      </w:pPr>
      <w:r>
        <w:rPr>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cs="Arial" w:ascii="Arial" w:hAnsi="Arial"/>
          <w:szCs w:val="22"/>
        </w:rPr>
        <w:t xml:space="preserve"> </w:t>
      </w:r>
    </w:p>
    <w:p>
      <w:pPr>
        <w:pStyle w:val="Normal"/>
        <w:widowControl w:val="false"/>
        <w:numPr>
          <w:ilvl w:val="0"/>
          <w:numId w:val="15"/>
        </w:numPr>
        <w:suppressAutoHyphens w:val="true"/>
        <w:spacing w:lineRule="auto" w:line="360" w:beforeAutospacing="1" w:after="0"/>
        <w:ind w:left="426" w:hanging="284"/>
        <w:jc w:val="both"/>
        <w:rPr>
          <w:szCs w:val="22"/>
        </w:rPr>
      </w:pPr>
      <w:r>
        <w:rPr>
          <w:b/>
          <w:bCs/>
          <w:szCs w:val="22"/>
        </w:rPr>
        <w:t xml:space="preserve">PODSTAWY WYKLUCZENIA Z POSTĘPOWANIA </w:t>
      </w:r>
    </w:p>
    <w:p>
      <w:pPr>
        <w:pStyle w:val="Normal"/>
        <w:widowControl w:val="false"/>
        <w:numPr>
          <w:ilvl w:val="0"/>
          <w:numId w:val="16"/>
        </w:numPr>
        <w:suppressAutoHyphens w:val="true"/>
        <w:spacing w:lineRule="auto" w:line="360"/>
        <w:ind w:left="284" w:hanging="284"/>
        <w:jc w:val="both"/>
        <w:rPr>
          <w:szCs w:val="22"/>
        </w:rPr>
      </w:pPr>
      <w:r>
        <w:rPr>
          <w:szCs w:val="22"/>
        </w:rPr>
        <w:t xml:space="preserve">Z postępowania o udzielenie zamówienia wyklucza się Wykonawców, w stosunku do których zachodzi którakolwiek z okoliczności wskazanych poniżej: </w:t>
      </w:r>
    </w:p>
    <w:p>
      <w:pPr>
        <w:pStyle w:val="Normal"/>
        <w:widowControl w:val="false"/>
        <w:numPr>
          <w:ilvl w:val="0"/>
          <w:numId w:val="17"/>
        </w:numPr>
        <w:suppressAutoHyphens w:val="true"/>
        <w:spacing w:lineRule="auto" w:line="360"/>
        <w:jc w:val="both"/>
        <w:rPr>
          <w:szCs w:val="22"/>
        </w:rPr>
      </w:pPr>
      <w:r>
        <w:rPr>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pPr>
        <w:pStyle w:val="Normal"/>
        <w:widowControl w:val="false"/>
        <w:numPr>
          <w:ilvl w:val="0"/>
          <w:numId w:val="17"/>
        </w:numPr>
        <w:suppressAutoHyphens w:val="true"/>
        <w:spacing w:lineRule="auto" w:line="360"/>
        <w:jc w:val="both"/>
        <w:rPr>
          <w:szCs w:val="22"/>
        </w:rPr>
      </w:pPr>
      <w:r>
        <w:rPr>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pPr>
        <w:pStyle w:val="Normal"/>
        <w:widowControl w:val="false"/>
        <w:numPr>
          <w:ilvl w:val="0"/>
          <w:numId w:val="17"/>
        </w:numPr>
        <w:suppressAutoHyphens w:val="true"/>
        <w:spacing w:lineRule="auto" w:line="360"/>
        <w:jc w:val="both"/>
        <w:rPr>
          <w:szCs w:val="22"/>
        </w:rPr>
      </w:pPr>
      <w:r>
        <w:rPr>
          <w:szCs w:val="22"/>
        </w:rPr>
        <w:t xml:space="preserve">który z przyczyn leżących po jego stronie, w znacznym stopniu lub zakresie nie wykonał lub nienależycie wykonał albo długotrwale nienależycie wykonywał istotne zobowiązanie wynikające z wcześniejszej umowy w sprawie zamówienia lub umowy koncesji, co doprowadziło do wypowiedzenia lub odstąpienia od umowy, odszkodowania, wykonania zastępczego lub realizacji uprawnień z tytułu rękojmi za wady; </w:t>
      </w:r>
    </w:p>
    <w:p>
      <w:pPr>
        <w:pStyle w:val="Normal"/>
        <w:numPr>
          <w:ilvl w:val="0"/>
          <w:numId w:val="18"/>
        </w:numPr>
        <w:spacing w:lineRule="auto" w:line="360"/>
        <w:ind w:left="284" w:hanging="284"/>
        <w:jc w:val="both"/>
        <w:rPr>
          <w:szCs w:val="22"/>
        </w:rPr>
      </w:pPr>
      <w:r>
        <w:rPr>
          <w:szCs w:val="22"/>
        </w:rPr>
        <w:t>Ofertę Wykonawcy wykluczonego uznaje się za odrzuconą.</w:t>
      </w:r>
    </w:p>
    <w:p>
      <w:pPr>
        <w:pStyle w:val="Normal"/>
        <w:widowControl w:val="false"/>
        <w:numPr>
          <w:ilvl w:val="0"/>
          <w:numId w:val="18"/>
        </w:numPr>
        <w:suppressAutoHyphens w:val="true"/>
        <w:spacing w:lineRule="auto" w:line="360"/>
        <w:ind w:left="284" w:hanging="284"/>
        <w:jc w:val="both"/>
        <w:rPr>
          <w:szCs w:val="22"/>
        </w:rPr>
      </w:pPr>
      <w:r>
        <w:rPr>
          <w:szCs w:val="22"/>
        </w:rPr>
        <w:t>Z postępowania o udzielenie zamówienia wyklucza się Wykonawców, w stosunku do których zachodzi którakolwiek z okoliczności wskazanych:</w:t>
      </w:r>
    </w:p>
    <w:p>
      <w:pPr>
        <w:pStyle w:val="Normal"/>
        <w:widowControl w:val="false"/>
        <w:numPr>
          <w:ilvl w:val="0"/>
          <w:numId w:val="19"/>
        </w:numPr>
        <w:suppressAutoHyphens w:val="true"/>
        <w:spacing w:lineRule="auto" w:line="360"/>
        <w:jc w:val="both"/>
        <w:rPr>
          <w:szCs w:val="22"/>
        </w:rPr>
      </w:pPr>
      <w:r>
        <w:rPr>
          <w:szCs w:val="22"/>
        </w:rPr>
        <w:t>w art. 7 ust. 1 ustawy o szczególnych rozwiązaniach w zakresie przeciwdziałania wspieraniu agresji na Ukrainę oraz służących ochronie bezpieczeństwa narodowego.</w:t>
      </w:r>
    </w:p>
    <w:p>
      <w:pPr>
        <w:pStyle w:val="Normal"/>
        <w:widowControl w:val="false"/>
        <w:numPr>
          <w:ilvl w:val="0"/>
          <w:numId w:val="20"/>
        </w:numPr>
        <w:suppressAutoHyphens w:val="true"/>
        <w:spacing w:lineRule="auto" w:line="360"/>
        <w:ind w:left="284" w:hanging="284"/>
        <w:jc w:val="both"/>
        <w:rPr>
          <w:szCs w:val="22"/>
        </w:rPr>
      </w:pPr>
      <w:r>
        <w:rPr>
          <w:szCs w:val="22"/>
        </w:rPr>
        <w:t>Jeśli wobec wykonawcy zachodzi którakolwiek z przesłanek, o których mowa w art. 7 ust. 1 ustawy o szczególnych rozwiązaniach w zakresie przeciwdziałania wspieraniu agresji na Ukrainę oraz służących ochronie bezpieczeństwa narodowego wówczas oferta tego wykonawcy zostanie odrzucona z uwagi na fakt, że oferta została złożona przez wykonawcę podlegającego wykluczeniu z postępowania.</w:t>
      </w:r>
    </w:p>
    <w:p>
      <w:pPr>
        <w:pStyle w:val="Normal"/>
        <w:widowControl w:val="false"/>
        <w:numPr>
          <w:ilvl w:val="0"/>
          <w:numId w:val="15"/>
        </w:numPr>
        <w:suppressAutoHyphens w:val="true"/>
        <w:spacing w:lineRule="auto" w:line="360" w:beforeAutospacing="1" w:after="0"/>
        <w:ind w:left="567" w:hanging="425"/>
        <w:jc w:val="both"/>
        <w:rPr>
          <w:szCs w:val="24"/>
        </w:rPr>
      </w:pPr>
      <w:r>
        <w:rPr>
          <w:b/>
          <w:bCs/>
          <w:szCs w:val="24"/>
        </w:rPr>
        <w:t xml:space="preserve">OŚWIADCZENIA I DOKUMENTY, JAKIE ZOBOWIĄZANI SĄ DOSTARCZYĆ WYKONAWCY W CELU POTWIERDZENIA SPEŁNIANIA WARUNKÓW UDZIAŁU W POSTĘPOWANIU ORAZ WYKAZANIA BRAKU PODSTAW WYKLUCZENIA  </w:t>
      </w:r>
    </w:p>
    <w:p>
      <w:pPr>
        <w:pStyle w:val="Normal"/>
        <w:widowControl w:val="false"/>
        <w:numPr>
          <w:ilvl w:val="0"/>
          <w:numId w:val="21"/>
        </w:numPr>
        <w:suppressAutoHyphens w:val="true"/>
        <w:spacing w:lineRule="auto" w:line="360" w:beforeAutospacing="1" w:after="0"/>
        <w:ind w:left="284" w:hanging="284"/>
        <w:jc w:val="both"/>
        <w:rPr>
          <w:b/>
          <w:b/>
          <w:bCs/>
          <w:szCs w:val="24"/>
        </w:rPr>
      </w:pPr>
      <w:r>
        <w:rPr>
          <w:bCs/>
          <w:szCs w:val="24"/>
        </w:rPr>
        <w:t>Do oferty Wykonawca zobowiązany jest dołączyć oświadczenie o niepodleganiu wykluczeniu udziału w postępowaniu, w zakresie wskazanym przez Zamawiającego, którego wzór stanowi</w:t>
      </w:r>
      <w:r>
        <w:rPr>
          <w:b/>
          <w:bCs/>
          <w:szCs w:val="24"/>
        </w:rPr>
        <w:t xml:space="preserve"> Załącznik nr 2 do ZO.</w:t>
      </w:r>
    </w:p>
    <w:p>
      <w:pPr>
        <w:pStyle w:val="Normal"/>
        <w:widowControl w:val="false"/>
        <w:numPr>
          <w:ilvl w:val="0"/>
          <w:numId w:val="21"/>
        </w:numPr>
        <w:suppressAutoHyphens w:val="true"/>
        <w:spacing w:lineRule="auto" w:line="360" w:before="0" w:after="0"/>
        <w:ind w:left="284" w:hanging="284"/>
        <w:jc w:val="both"/>
        <w:rPr>
          <w:b/>
          <w:b/>
          <w:bCs/>
          <w:szCs w:val="24"/>
        </w:rPr>
      </w:pPr>
      <w:r>
        <w:rPr>
          <w:bCs/>
          <w:szCs w:val="24"/>
        </w:rPr>
        <w:t>W przypadku wspólnego ubiegania się o zamówienie przez Wykonawców oświadczenie, o którym mowa w ust. 1 niniejszego Rozdziału ZO, składa każdy z Wykonawców. Oświadczenie to ma potwierdzać brak podstaw wykluczenia.</w:t>
      </w:r>
    </w:p>
    <w:p>
      <w:pPr>
        <w:pStyle w:val="Normal"/>
        <w:widowControl w:val="false"/>
        <w:numPr>
          <w:ilvl w:val="0"/>
          <w:numId w:val="21"/>
        </w:numPr>
        <w:suppressAutoHyphens w:val="true"/>
        <w:spacing w:lineRule="auto" w:line="360" w:before="0" w:after="0"/>
        <w:ind w:left="284" w:hanging="284"/>
        <w:jc w:val="both"/>
        <w:rPr>
          <w:b/>
          <w:b/>
          <w:bCs/>
          <w:szCs w:val="24"/>
        </w:rPr>
      </w:pPr>
      <w:r>
        <w:rPr>
          <w:bCs/>
          <w:szCs w:val="24"/>
        </w:rPr>
        <w:t>Zamawiający wymaga od Wykonawcy złożenia w oświadczeniu, o którym mowa w ust. 1 niniejszego Rozdziału ZO (Załącznik nr 2 do ZO) oświadczenia, dotyczącego podwykonawcy niebędącego podmiotem udostępniającym zasoby, w zakresie podstaw wykluczenia.</w:t>
      </w:r>
    </w:p>
    <w:p>
      <w:pPr>
        <w:pStyle w:val="Normal"/>
        <w:widowControl w:val="false"/>
        <w:numPr>
          <w:ilvl w:val="0"/>
          <w:numId w:val="21"/>
        </w:numPr>
        <w:suppressAutoHyphens w:val="true"/>
        <w:spacing w:lineRule="auto" w:line="360" w:before="0" w:after="0"/>
        <w:ind w:left="284" w:hanging="284"/>
        <w:jc w:val="both"/>
        <w:rPr>
          <w:b/>
          <w:b/>
          <w:bCs/>
          <w:szCs w:val="24"/>
        </w:rPr>
      </w:pPr>
      <w:r>
        <w:rPr>
          <w:b/>
          <w:bCs/>
          <w:szCs w:val="24"/>
        </w:rPr>
        <w:t xml:space="preserve">Uwaga! </w:t>
      </w:r>
      <w:r>
        <w:rPr>
          <w:bCs/>
          <w:szCs w:val="24"/>
        </w:rPr>
        <w:t>Oświadczenia, o których mowa powyżej należy złożyć, pod rygorem nieważności, w formie elektronicznej (tj. opatrzonej kwalifikowanym podpisem elektronicznym) lub w postaci elektronicznej opatrzonej podpisem zaufanym lub podpisem osobistym lub w postaci papierowej opatrzonej podpisem własnoręcznym</w:t>
      </w:r>
    </w:p>
    <w:p>
      <w:pPr>
        <w:pStyle w:val="Normal"/>
        <w:widowControl w:val="false"/>
        <w:numPr>
          <w:ilvl w:val="0"/>
          <w:numId w:val="21"/>
        </w:numPr>
        <w:suppressAutoHyphens w:val="true"/>
        <w:spacing w:lineRule="auto" w:line="360" w:before="0" w:after="0"/>
        <w:ind w:left="284" w:hanging="284"/>
        <w:jc w:val="both"/>
        <w:rPr>
          <w:bCs/>
          <w:szCs w:val="24"/>
        </w:rPr>
      </w:pPr>
      <w:r>
        <w:rPr>
          <w:bCs/>
          <w:szCs w:val="24"/>
        </w:rPr>
        <w:t>Zamawiający w celu potwierdzenia braku podstaw wykluczenia Wykonawcy z udziału w postępowaniu wezwie Wykonawcę, którego oferta została najwyżej oceniona, do złożenia w wyznaczonym terminie, nie krótszym niż 5 dni od dnia wezwania niżej wymienionych dokumentów :</w:t>
      </w:r>
    </w:p>
    <w:p>
      <w:pPr>
        <w:pStyle w:val="Normal"/>
        <w:widowControl w:val="false"/>
        <w:numPr>
          <w:ilvl w:val="0"/>
          <w:numId w:val="22"/>
        </w:numPr>
        <w:suppressAutoHyphens w:val="true"/>
        <w:spacing w:lineRule="auto" w:line="360"/>
        <w:ind w:left="567" w:hanging="283"/>
        <w:jc w:val="both"/>
        <w:rPr>
          <w:bCs/>
          <w:szCs w:val="24"/>
        </w:rPr>
      </w:pPr>
      <w:r>
        <w:rPr>
          <w:szCs w:val="24"/>
        </w:rPr>
        <w:t xml:space="preserve">Oświadczenie wykonawcy, o braku przynależności do tej samej grupy kapitałowej, w rozumieniu ustawy z dnia 16 lutego 2007 r. o ochronie konkurencji i konsumentów (t.j.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bCs/>
          <w:szCs w:val="24"/>
        </w:rPr>
        <w:t>załącznik nr 3 do ZO</w:t>
      </w:r>
      <w:r>
        <w:rPr>
          <w:szCs w:val="24"/>
        </w:rPr>
        <w:t xml:space="preserve">; </w:t>
      </w:r>
    </w:p>
    <w:p>
      <w:pPr>
        <w:pStyle w:val="Normal"/>
        <w:widowControl w:val="false"/>
        <w:numPr>
          <w:ilvl w:val="0"/>
          <w:numId w:val="22"/>
        </w:numPr>
        <w:suppressAutoHyphens w:val="true"/>
        <w:spacing w:lineRule="auto" w:line="360"/>
        <w:ind w:left="567" w:hanging="283"/>
        <w:jc w:val="both"/>
        <w:rPr>
          <w:bCs/>
          <w:szCs w:val="24"/>
        </w:rPr>
      </w:pPr>
      <w:r>
        <w:rPr>
          <w:szCs w:val="24"/>
        </w:rPr>
        <w:t xml:space="preserve">Odpis lub informacja z Krajowego Rejestru Sądowego lub z Centralnej Ewidencji i Informacji o Działalności Gospodarczej, sporządzonych nie wcześniej niż 3 miesiące przed jej złożeniem, jeżeli odrębne przepisy wymagają wpisu do rejestru lub ewidencji; </w:t>
      </w:r>
    </w:p>
    <w:p>
      <w:pPr>
        <w:pStyle w:val="Normal"/>
        <w:spacing w:lineRule="auto" w:line="360"/>
        <w:ind w:left="567" w:hanging="0"/>
        <w:jc w:val="both"/>
        <w:rPr>
          <w:bCs/>
          <w:szCs w:val="24"/>
        </w:rPr>
      </w:pPr>
      <w:r>
        <w:rPr>
          <w:bCs/>
          <w:szCs w:val="24"/>
        </w:rPr>
        <w:t xml:space="preserve">Zamawiający w celu potwierdzenia braku podstaw wykluczenia Wykonawcy z udziału w postępowaniu skorzysta z dokumentów znajdujących się w ogólnodostępnych i bezpłatnych bazach danych pod warunkiem wskazania przez Wykonawcę w oświadczeniu o którym mowa w Rozdziale 9 ust 1 ZO (Załącznik nr 2 do ZO), danych umożliwiających dostęp do tych dokumentów. </w:t>
      </w:r>
    </w:p>
    <w:p>
      <w:pPr>
        <w:pStyle w:val="Normal"/>
        <w:numPr>
          <w:ilvl w:val="0"/>
          <w:numId w:val="28"/>
        </w:numPr>
        <w:spacing w:lineRule="auto" w:line="360"/>
        <w:ind w:left="284" w:hanging="284"/>
        <w:jc w:val="both"/>
        <w:rPr>
          <w:bCs/>
          <w:szCs w:val="24"/>
        </w:rPr>
      </w:pPr>
      <w:r>
        <w:rPr>
          <w:bCs/>
          <w:szCs w:val="24"/>
        </w:rPr>
        <w:t>Zamawiający żąda złożenia dokumentów na potwierdzenie zgodności oferowanych dostaw z wymaganiami określonymi w opisie przedmiotu zamówienia:</w:t>
      </w:r>
    </w:p>
    <w:p>
      <w:pPr>
        <w:pStyle w:val="Normal"/>
        <w:spacing w:lineRule="auto" w:line="360"/>
        <w:ind w:left="567" w:hanging="283"/>
        <w:jc w:val="both"/>
        <w:rPr>
          <w:bCs/>
          <w:szCs w:val="24"/>
        </w:rPr>
      </w:pPr>
      <w:r>
        <w:rPr>
          <w:bCs/>
          <w:szCs w:val="24"/>
        </w:rPr>
        <w:t xml:space="preserve">1) potwierdzających wymagane parametry w oferowanych urządzeniach (np. karty katalogowe, firmowe materiały informacyjne producenta, instrukcje użytkowania, opisy techniczne lub inne posiadane dokumenty), zawierające szczegółowe dane, które umożliwią potwierdzenie spełniania wymagań ustalonych przez Zamawiającego oraz będą podstawą dokonania oceny zgodności złożonej oferty przez Wykonawcę z wymaganiami określonymi przez  Zamawiającego, </w:t>
      </w:r>
    </w:p>
    <w:p>
      <w:pPr>
        <w:pStyle w:val="Normal"/>
        <w:spacing w:lineRule="auto" w:line="360"/>
        <w:ind w:left="284" w:hanging="0"/>
        <w:jc w:val="both"/>
        <w:rPr>
          <w:bCs/>
          <w:szCs w:val="24"/>
        </w:rPr>
      </w:pPr>
      <w:r>
        <w:rPr>
          <w:bCs/>
          <w:szCs w:val="24"/>
        </w:rPr>
        <w:t>Uwaga:</w:t>
      </w:r>
    </w:p>
    <w:p>
      <w:pPr>
        <w:pStyle w:val="Normal"/>
        <w:spacing w:lineRule="auto" w:line="360"/>
        <w:ind w:left="284" w:hanging="0"/>
        <w:jc w:val="both"/>
        <w:rPr>
          <w:bCs/>
          <w:szCs w:val="24"/>
        </w:rPr>
      </w:pPr>
      <w:r>
        <w:rPr>
          <w:bCs/>
          <w:szCs w:val="24"/>
        </w:rPr>
        <w:t>Dokumenty muszą potwierdzić spełnienie minimalnych wymagań i parametrów dla oferowanych aparatów. Jeżeli Wykonawca nie złoży ich wraz z ofertą bądź będą one niekompletne, Zamawiający wezwie do ich złożenia lub uzupełnienia w wyznaczonym terminie.</w:t>
      </w:r>
    </w:p>
    <w:p>
      <w:pPr>
        <w:pStyle w:val="Normal"/>
        <w:spacing w:lineRule="auto" w:line="360"/>
        <w:ind w:left="284" w:hanging="0"/>
        <w:jc w:val="both"/>
        <w:rPr>
          <w:bCs/>
          <w:szCs w:val="24"/>
        </w:rPr>
      </w:pPr>
      <w:r>
        <w:rPr>
          <w:bCs/>
          <w:szCs w:val="24"/>
        </w:rPr>
        <w:t>Zamawiający akceptuje równoważne dokumenty jeżeli potwierdzają, że oferowane produkty spełniają określone przez Zamawiającego wymagania. Zamawiający może żądać od Wykonawców wyjaśnień dotyczących ich treści. Zamawiający informuje, że nie wezwie do złożenia lub uzupełnienia dokumentów potwierdzających parametry oferowanych urządzeń, gdy mimo ich złożenia oferta podlega odrzuceniu albo zachodzą przesłanki unieważnienia postępowania.</w:t>
      </w:r>
    </w:p>
    <w:p>
      <w:pPr>
        <w:pStyle w:val="Normal"/>
        <w:widowControl w:val="false"/>
        <w:numPr>
          <w:ilvl w:val="0"/>
          <w:numId w:val="28"/>
        </w:numPr>
        <w:suppressAutoHyphens w:val="true"/>
        <w:spacing w:lineRule="auto" w:line="360"/>
        <w:ind w:left="284" w:hanging="284"/>
        <w:jc w:val="both"/>
        <w:rPr>
          <w:bCs/>
          <w:szCs w:val="24"/>
        </w:rPr>
      </w:pPr>
      <w:r>
        <w:rPr>
          <w:bCs/>
          <w:szCs w:val="24"/>
        </w:rPr>
        <w:t xml:space="preserve">Jeżeli zachodzą uzasadnione podstawy do uznania, że złożone uprzednio dokumenty nie są już aktualne, zamawiający może w każdym czasie wezwać wykonawcę lub wykonawców do złożenia wszystkich lub niektórych podmiotowych środków dowodowych, aktualnych na dzień ich złożenia. </w:t>
      </w:r>
    </w:p>
    <w:p>
      <w:pPr>
        <w:pStyle w:val="Normal"/>
        <w:widowControl w:val="false"/>
        <w:numPr>
          <w:ilvl w:val="0"/>
          <w:numId w:val="28"/>
        </w:numPr>
        <w:suppressAutoHyphens w:val="true"/>
        <w:spacing w:lineRule="auto" w:line="360" w:before="0" w:after="0"/>
        <w:ind w:left="284" w:hanging="284"/>
        <w:jc w:val="both"/>
        <w:rPr>
          <w:bCs/>
          <w:szCs w:val="24"/>
        </w:rPr>
      </w:pPr>
      <w:r>
        <w:rPr>
          <w:bCs/>
          <w:szCs w:val="24"/>
        </w:rPr>
        <w:t xml:space="preserve">Zamawiający żąda wskazania przez Wykonawcę, w ofercie, części zamówienia, których wykonanie zamierza powierzyć podwykonawcom, oraz podania nazw ewentualnych podwykonawców, jeżeli są już znani. </w:t>
      </w:r>
    </w:p>
    <w:p>
      <w:pPr>
        <w:pStyle w:val="Normal"/>
        <w:widowControl w:val="false"/>
        <w:numPr>
          <w:ilvl w:val="0"/>
          <w:numId w:val="28"/>
        </w:numPr>
        <w:suppressAutoHyphens w:val="true"/>
        <w:spacing w:lineRule="auto" w:line="360" w:before="0" w:after="0"/>
        <w:ind w:left="284" w:hanging="284"/>
        <w:jc w:val="both"/>
        <w:rPr>
          <w:bCs/>
          <w:szCs w:val="24"/>
        </w:rPr>
      </w:pPr>
      <w:r>
        <w:rPr>
          <w:bCs/>
          <w:szCs w:val="24"/>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t>
      </w:r>
    </w:p>
    <w:p>
      <w:pPr>
        <w:pStyle w:val="Normal"/>
        <w:widowControl w:val="false"/>
        <w:numPr>
          <w:ilvl w:val="0"/>
          <w:numId w:val="23"/>
        </w:numPr>
        <w:suppressAutoHyphens w:val="true"/>
        <w:spacing w:lineRule="auto" w:line="360"/>
        <w:jc w:val="both"/>
        <w:rPr>
          <w:bCs/>
          <w:szCs w:val="24"/>
        </w:rPr>
      </w:pPr>
      <w:r>
        <w:rPr>
          <w:bCs/>
          <w:szCs w:val="24"/>
        </w:rPr>
        <w:t xml:space="preserve">Wykonawca nie jest zobowiązany do złożenia dokumentów, o których mowa w zdaniu pierwszym, jeżeli Zamawiający może uzyskać za pomocą bezpłatnych i ogólnodostępnych baz danych, o ile Wykonawca wskazał dane umożliwiające dostęp do tych dokumentów. </w:t>
      </w:r>
    </w:p>
    <w:p>
      <w:pPr>
        <w:pStyle w:val="Normal"/>
        <w:widowControl w:val="false"/>
        <w:numPr>
          <w:ilvl w:val="0"/>
          <w:numId w:val="23"/>
        </w:numPr>
        <w:suppressAutoHyphens w:val="true"/>
        <w:spacing w:lineRule="auto" w:line="360"/>
        <w:jc w:val="both"/>
        <w:rPr>
          <w:bCs/>
          <w:szCs w:val="24"/>
        </w:rPr>
      </w:pPr>
      <w:r>
        <w:rPr>
          <w:bCs/>
          <w:szCs w:val="24"/>
        </w:rPr>
        <w:t xml:space="preserve">Jeżeli w imieniu Wykonawcy działa osoba, której umocowanie do jego reprezentowania nie wynika z dokumentów, o których mowa w zdaniu pierwszym, Zamawiający może żądać od Wykonawcy pełnomocnictwa lub innego dokumentu potwierdzającego umocowanie do reprezentowania Wykonawcy. </w:t>
      </w:r>
    </w:p>
    <w:p>
      <w:pPr>
        <w:pStyle w:val="Normal"/>
        <w:widowControl w:val="false"/>
        <w:numPr>
          <w:ilvl w:val="0"/>
          <w:numId w:val="23"/>
        </w:numPr>
        <w:suppressAutoHyphens w:val="true"/>
        <w:spacing w:lineRule="auto" w:line="360"/>
        <w:jc w:val="both"/>
        <w:rPr>
          <w:bCs/>
          <w:szCs w:val="24"/>
        </w:rPr>
      </w:pPr>
      <w:r>
        <w:rPr>
          <w:bCs/>
          <w:szCs w:val="24"/>
        </w:rPr>
        <w:t>zapis z lit. b) powyżej stosuje się odpowiednio do osoby działającej w imieniu Wykonawców wspólnie ubiegających się o udzielenie zamówienia.</w:t>
      </w:r>
    </w:p>
    <w:p>
      <w:pPr>
        <w:pStyle w:val="Normal"/>
        <w:widowControl w:val="false"/>
        <w:numPr>
          <w:ilvl w:val="0"/>
          <w:numId w:val="23"/>
        </w:numPr>
        <w:suppressAutoHyphens w:val="true"/>
        <w:spacing w:lineRule="auto" w:line="360"/>
        <w:jc w:val="both"/>
        <w:rPr>
          <w:bCs/>
          <w:szCs w:val="24"/>
        </w:rPr>
      </w:pPr>
      <w:r>
        <w:rPr>
          <w:bCs/>
          <w:szCs w:val="24"/>
        </w:rPr>
        <w:t>zapis ust. 9 lit. a) i b) stosuje się odpowiednio do osoby działającej w imieniu podmiotu udostępniającego zasoby lub podwykonawcy nie będącego podmiotem udostępniającym zasoby na takich zasadach.</w:t>
      </w:r>
    </w:p>
    <w:p>
      <w:pPr>
        <w:pStyle w:val="Normal"/>
        <w:widowControl w:val="false"/>
        <w:numPr>
          <w:ilvl w:val="0"/>
          <w:numId w:val="29"/>
        </w:numPr>
        <w:suppressAutoHyphens w:val="true"/>
        <w:spacing w:lineRule="auto" w:line="360"/>
        <w:ind w:left="284" w:hanging="360"/>
        <w:jc w:val="both"/>
        <w:rPr>
          <w:bCs/>
          <w:szCs w:val="24"/>
        </w:rPr>
      </w:pPr>
      <w:r>
        <w:rPr>
          <w:bCs/>
          <w:szCs w:val="24"/>
        </w:rPr>
        <w:t>W przypadku wskazania przez wykonawcę dostępności dokumentów, o których mowa w ust. 9, pod określonymi adresami internetowymi ogólnodostępnych i bezpłatnych baz danych, zamawiający może żądać od wykonawcy przedstawienia tłumaczenia na język polski pobranych samodzielnie przez zamawiającego dokumentów.</w:t>
      </w:r>
    </w:p>
    <w:p>
      <w:pPr>
        <w:pStyle w:val="Normal"/>
        <w:widowControl w:val="false"/>
        <w:numPr>
          <w:ilvl w:val="0"/>
          <w:numId w:val="29"/>
        </w:numPr>
        <w:suppressAutoHyphens w:val="true"/>
        <w:spacing w:lineRule="auto" w:line="360"/>
        <w:ind w:left="284" w:hanging="360"/>
        <w:jc w:val="both"/>
        <w:rPr>
          <w:bCs/>
          <w:szCs w:val="24"/>
        </w:rPr>
      </w:pPr>
      <w:r>
        <w:rPr>
          <w:b/>
          <w:bCs/>
          <w:szCs w:val="24"/>
        </w:rPr>
        <w:t>Dokumenty podmiotów zagranicznych:</w:t>
      </w:r>
    </w:p>
    <w:p>
      <w:pPr>
        <w:pStyle w:val="Normal"/>
        <w:widowControl w:val="false"/>
        <w:numPr>
          <w:ilvl w:val="0"/>
          <w:numId w:val="24"/>
        </w:numPr>
        <w:suppressAutoHyphens w:val="true"/>
        <w:spacing w:lineRule="auto" w:line="360"/>
        <w:jc w:val="both"/>
        <w:rPr>
          <w:bCs/>
          <w:szCs w:val="24"/>
        </w:rPr>
      </w:pPr>
      <w:r>
        <w:rPr>
          <w:bCs/>
          <w:szCs w:val="24"/>
        </w:rPr>
        <w:t>Jeżeli Wykonawca ma siedzibę lub miejsce zamieszkania poza granicami Rzeczypospolitej Polskiej, zamiast dokumentów, o których mowa w Rozdziale 9 ust. 5 pkt 1) lit. a) SWZ:</w:t>
      </w:r>
    </w:p>
    <w:p>
      <w:pPr>
        <w:pStyle w:val="Normal"/>
        <w:widowControl w:val="false"/>
        <w:numPr>
          <w:ilvl w:val="0"/>
          <w:numId w:val="25"/>
        </w:numPr>
        <w:suppressAutoHyphens w:val="true"/>
        <w:spacing w:lineRule="auto" w:line="360"/>
        <w:jc w:val="both"/>
        <w:rPr>
          <w:bCs/>
          <w:szCs w:val="24"/>
        </w:rPr>
      </w:pPr>
      <w:r>
        <w:rPr>
          <w:bCs/>
          <w:szCs w:val="24"/>
        </w:rPr>
        <w:t>składa dokument lub dokumenty wystawione w kraju, w którym Wykonawca ma siedzibę lub miejsce zamieszkania, potwierdzające odpowiednio, że:</w:t>
      </w:r>
    </w:p>
    <w:p>
      <w:pPr>
        <w:pStyle w:val="Normal"/>
        <w:widowControl w:val="false"/>
        <w:numPr>
          <w:ilvl w:val="0"/>
          <w:numId w:val="26"/>
        </w:numPr>
        <w:suppressAutoHyphens w:val="true"/>
        <w:spacing w:lineRule="auto" w:line="360"/>
        <w:jc w:val="both"/>
        <w:rPr>
          <w:bCs/>
          <w:szCs w:val="24"/>
        </w:rPr>
      </w:pPr>
      <w:r>
        <w:rPr>
          <w:bCs/>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miesięcy przed ich złożeniem.</w:t>
      </w:r>
    </w:p>
    <w:p>
      <w:pPr>
        <w:pStyle w:val="Normal"/>
        <w:widowControl w:val="false"/>
        <w:numPr>
          <w:ilvl w:val="0"/>
          <w:numId w:val="24"/>
        </w:numPr>
        <w:suppressAutoHyphens w:val="true"/>
        <w:spacing w:lineRule="auto" w:line="360"/>
        <w:jc w:val="both"/>
        <w:rPr>
          <w:bCs/>
          <w:szCs w:val="24"/>
        </w:rPr>
      </w:pPr>
      <w:r>
        <w:rPr>
          <w:bCs/>
          <w:szCs w:val="24"/>
        </w:rPr>
        <w:t xml:space="preserve">Jeżeli w kraju, w którym Wykonawca ma siedzibę lub miejsce zamieszkania, nie wydaje się dokumentów, o których mowa w ust. 11 pkt. 1) lit. a) powyżej, lub gdy dokumenty te nie odnoszą się do wszystkich przypadków,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pPr>
        <w:pStyle w:val="Normal"/>
        <w:spacing w:lineRule="auto" w:line="360"/>
        <w:ind w:left="720" w:hanging="0"/>
        <w:jc w:val="both"/>
        <w:rPr>
          <w:bCs/>
          <w:szCs w:val="24"/>
        </w:rPr>
      </w:pPr>
      <w:r>
        <w:rPr>
          <w:bCs/>
          <w:szCs w:val="24"/>
        </w:rPr>
        <w:t xml:space="preserve">Dokumenty, o których mowa w zdaniach poprzedzających powinny być wystawione w terminach odpowiednich dla dokumentów wymienionych w ust. 11 pkt. 1) lit. a) powyżej. </w:t>
      </w:r>
    </w:p>
    <w:p>
      <w:pPr>
        <w:pStyle w:val="Normal"/>
        <w:widowControl w:val="false"/>
        <w:numPr>
          <w:ilvl w:val="0"/>
          <w:numId w:val="30"/>
        </w:numPr>
        <w:suppressAutoHyphens w:val="true"/>
        <w:spacing w:lineRule="auto" w:line="360"/>
        <w:ind w:left="426" w:hanging="426"/>
        <w:jc w:val="both"/>
        <w:rPr>
          <w:bCs/>
          <w:szCs w:val="24"/>
        </w:rPr>
      </w:pPr>
      <w:r>
        <w:rPr>
          <w:bCs/>
          <w:szCs w:val="24"/>
        </w:rPr>
        <w:t xml:space="preserve">Jeżeli Wykonawca nie złożył oświadczenia, o którym mowa w załączniku nr 2 do ZO, dokumentów na potwierdzenie zgodności oferowanych dostaw z wymaganiami określonymi w opisie przedmiotu zamówienia, innych dokumentów lub oświadczeń składanych w postępowaniu lub są one niekompletne lub zawierają błędy, Zamawiający wzywa Wykonawcę odpowiednio do ich złożenia, poprawienia lub uzupełnienia w wyznaczonym terminie, chyba że: </w:t>
      </w:r>
    </w:p>
    <w:p>
      <w:pPr>
        <w:pStyle w:val="Normal"/>
        <w:widowControl w:val="false"/>
        <w:numPr>
          <w:ilvl w:val="0"/>
          <w:numId w:val="27"/>
        </w:numPr>
        <w:suppressAutoHyphens w:val="true"/>
        <w:spacing w:lineRule="auto" w:line="360"/>
        <w:jc w:val="both"/>
        <w:rPr>
          <w:bCs/>
          <w:szCs w:val="24"/>
        </w:rPr>
      </w:pPr>
      <w:r>
        <w:rPr>
          <w:bCs/>
          <w:szCs w:val="24"/>
        </w:rPr>
        <w:t xml:space="preserve">oferta Wykonawcy podlega odrzuceniu bez względu na ich złożenie, uzupełnienie lub poprawienie lub </w:t>
      </w:r>
    </w:p>
    <w:p>
      <w:pPr>
        <w:pStyle w:val="Normal"/>
        <w:widowControl w:val="false"/>
        <w:numPr>
          <w:ilvl w:val="0"/>
          <w:numId w:val="27"/>
        </w:numPr>
        <w:suppressAutoHyphens w:val="true"/>
        <w:spacing w:lineRule="auto" w:line="360"/>
        <w:jc w:val="both"/>
        <w:rPr>
          <w:bCs/>
          <w:szCs w:val="24"/>
        </w:rPr>
      </w:pPr>
      <w:r>
        <w:rPr>
          <w:bCs/>
          <w:szCs w:val="24"/>
        </w:rPr>
        <w:t xml:space="preserve">zachodzą przesłanki unieważnienia postępowania. </w:t>
      </w:r>
    </w:p>
    <w:p>
      <w:pPr>
        <w:pStyle w:val="Normal"/>
        <w:widowControl w:val="false"/>
        <w:numPr>
          <w:ilvl w:val="0"/>
          <w:numId w:val="31"/>
        </w:numPr>
        <w:tabs>
          <w:tab w:val="clear" w:pos="708"/>
          <w:tab w:val="left" w:pos="426" w:leader="none"/>
        </w:tabs>
        <w:suppressAutoHyphens w:val="true"/>
        <w:spacing w:lineRule="auto" w:line="360"/>
        <w:ind w:left="426" w:hanging="426"/>
        <w:jc w:val="both"/>
        <w:rPr>
          <w:bCs/>
          <w:szCs w:val="24"/>
        </w:rPr>
      </w:pPr>
      <w:r>
        <w:rPr>
          <w:bCs/>
          <w:szCs w:val="24"/>
        </w:rPr>
        <w:t xml:space="preserve">Zamawiający może żądać od Wykonawców wyjaśnień dotyczących treści dokumentów lub oświadczeń składanych w postępowaniu. </w:t>
      </w:r>
    </w:p>
    <w:p>
      <w:pPr>
        <w:pStyle w:val="Normal"/>
        <w:widowControl w:val="false"/>
        <w:numPr>
          <w:ilvl w:val="0"/>
          <w:numId w:val="31"/>
        </w:numPr>
        <w:tabs>
          <w:tab w:val="clear" w:pos="708"/>
          <w:tab w:val="left" w:pos="426" w:leader="none"/>
        </w:tabs>
        <w:suppressAutoHyphens w:val="true"/>
        <w:spacing w:lineRule="auto" w:line="360"/>
        <w:ind w:left="425" w:hanging="425"/>
        <w:jc w:val="both"/>
        <w:rPr>
          <w:szCs w:val="24"/>
        </w:rPr>
      </w:pPr>
      <w:r>
        <w:rPr>
          <w:bCs/>
          <w:szCs w:val="24"/>
        </w:rPr>
        <w:t xml:space="preserve">Dokumenty o których mowa w niniejszym rozdziale ZO przekazuje się elektronicznie na adres mailowy </w:t>
      </w:r>
      <w:r>
        <w:rPr>
          <w:szCs w:val="24"/>
        </w:rPr>
        <w:t>nzozmedyk@vp.pl</w:t>
      </w:r>
      <w:r>
        <w:rPr>
          <w:bCs/>
          <w:szCs w:val="24"/>
        </w:rPr>
        <w:t xml:space="preserve"> lub osobiście poprzez przedłożenie dokumentów w postaci papierowej w godzinach pracy wnioskodawcy . </w:t>
      </w:r>
    </w:p>
    <w:p>
      <w:pPr>
        <w:pStyle w:val="Normal"/>
        <w:widowControl w:val="false"/>
        <w:numPr>
          <w:ilvl w:val="0"/>
          <w:numId w:val="15"/>
        </w:numPr>
        <w:suppressAutoHyphens w:val="true"/>
        <w:spacing w:lineRule="auto" w:line="360" w:beforeAutospacing="1" w:after="0"/>
        <w:ind w:left="567" w:hanging="425"/>
        <w:jc w:val="both"/>
        <w:rPr>
          <w:b/>
          <w:b/>
          <w:bCs/>
          <w:szCs w:val="22"/>
        </w:rPr>
      </w:pPr>
      <w:r>
        <w:rPr>
          <w:b/>
          <w:bCs/>
          <w:szCs w:val="22"/>
        </w:rPr>
        <w:t>POLEGANIE NA ZASOBACH INNYCH PODMIOTÓW</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Wykonawca może w celu potwierdzenia spełniania warunków udziału w polegać na zdolnościach technicznych lub zawodowych podmiotów udostępniających zasoby, niezależnie od charakteru prawnego łączących go z nimi stosunków prawnych. </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W odniesieniu do warunków dotyczących doświadczenia, wykonawcy mogą polegać na zdolnościach podmiotów udostępniających zasoby, jeśli podmioty te wykonają świadczenie do realizacji którego te zdolności są wymagane. </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Pr>
          <w:color w:val="000000"/>
          <w:szCs w:val="22"/>
        </w:rPr>
        <w:t xml:space="preserve">stanowi </w:t>
      </w:r>
      <w:r>
        <w:rPr>
          <w:b/>
          <w:bCs/>
          <w:color w:val="000000"/>
          <w:szCs w:val="22"/>
        </w:rPr>
        <w:t xml:space="preserve">załącznik nr 5 do ZO. </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pPr>
        <w:pStyle w:val="Normal"/>
        <w:widowControl w:val="false"/>
        <w:numPr>
          <w:ilvl w:val="0"/>
          <w:numId w:val="32"/>
        </w:numPr>
        <w:suppressAutoHyphens w:val="true"/>
        <w:spacing w:lineRule="auto" w:line="360"/>
        <w:ind w:left="284" w:hanging="284"/>
        <w:jc w:val="both"/>
        <w:rPr>
          <w:b/>
          <w:b/>
          <w:bCs/>
          <w:szCs w:val="22"/>
        </w:rPr>
      </w:pPr>
      <w:r>
        <w:rPr>
          <w:szCs w:val="22"/>
        </w:rPr>
        <w:t xml:space="preserve">Wykonawca, w przypadku polegania na zdolnościach lub sytuacji podmiotów udostępniających zasoby, przedstawia, wraz z oświadczeniem, o którym mowa w Rozdziale IX ust. 1 ZO,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ZO. </w:t>
      </w:r>
    </w:p>
    <w:p>
      <w:pPr>
        <w:pStyle w:val="Normal"/>
        <w:widowControl w:val="false"/>
        <w:numPr>
          <w:ilvl w:val="0"/>
          <w:numId w:val="15"/>
        </w:numPr>
        <w:suppressAutoHyphens w:val="true"/>
        <w:spacing w:lineRule="auto" w:line="360" w:beforeAutospacing="1" w:after="0"/>
        <w:ind w:left="567" w:hanging="425"/>
        <w:jc w:val="both"/>
        <w:rPr>
          <w:szCs w:val="22"/>
        </w:rPr>
      </w:pPr>
      <w:r>
        <w:rPr>
          <w:b/>
          <w:bCs/>
          <w:szCs w:val="22"/>
        </w:rPr>
        <w:t xml:space="preserve">INFORMACJA DLA WYKONAWCÓW WSPÓLNIE UBIEGAJĄCYCH SIĘ O UDZIELENIE ZAMÓWIENIA (SPÓŁKI CYWILNE/ KONSORCJA) </w:t>
      </w:r>
    </w:p>
    <w:p>
      <w:pPr>
        <w:pStyle w:val="Normal"/>
        <w:widowControl w:val="false"/>
        <w:numPr>
          <w:ilvl w:val="0"/>
          <w:numId w:val="33"/>
        </w:numPr>
        <w:suppressAutoHyphens w:val="true"/>
        <w:spacing w:lineRule="auto" w:line="360"/>
        <w:ind w:left="284" w:hanging="284"/>
        <w:jc w:val="both"/>
        <w:rPr>
          <w:szCs w:val="22"/>
        </w:rPr>
      </w:pPr>
      <w:r>
        <w:rPr>
          <w:szCs w:val="22"/>
        </w:rPr>
        <w:t xml:space="preserve">Wykonawcy mogą wspólnie ubiegać się o udzielenie zamówienia. W takim przypadku Wykonawcy ustanawiają pełnomocnika do reprezentowania ich w postępowaniu albo do reprezentowania i zawarcia umowy w sprawie zamówienia. Pełnomocnictwo winno być załączone do oferty. </w:t>
      </w:r>
    </w:p>
    <w:p>
      <w:pPr>
        <w:pStyle w:val="Normal"/>
        <w:widowControl w:val="false"/>
        <w:numPr>
          <w:ilvl w:val="0"/>
          <w:numId w:val="33"/>
        </w:numPr>
        <w:suppressAutoHyphens w:val="true"/>
        <w:spacing w:lineRule="auto" w:line="360"/>
        <w:ind w:left="284" w:hanging="284"/>
        <w:jc w:val="both"/>
        <w:rPr>
          <w:szCs w:val="22"/>
        </w:rPr>
      </w:pPr>
      <w:r>
        <w:rPr>
          <w:szCs w:val="22"/>
        </w:rPr>
        <w:t xml:space="preserve">W przypadku Wykonawców wspólnie ubiegających się o udzielenie zamówienia, oświadczenia, o których mowa w Rozdziale IX ust. 1 ZO, składa każdy z wykonawców. Oświadczenia te potwierdzają brak podstaw wykluczenia oraz spełnianie warunków udziału w zakresie, w jakim każdy z wykonawców wykazuje spełnianie warunków udziału w postępowaniu. </w:t>
      </w:r>
    </w:p>
    <w:p>
      <w:pPr>
        <w:pStyle w:val="Normal"/>
        <w:widowControl w:val="false"/>
        <w:numPr>
          <w:ilvl w:val="0"/>
          <w:numId w:val="33"/>
        </w:numPr>
        <w:suppressAutoHyphens w:val="true"/>
        <w:spacing w:lineRule="auto" w:line="360"/>
        <w:ind w:left="284" w:hanging="284"/>
        <w:jc w:val="both"/>
        <w:rPr>
          <w:szCs w:val="22"/>
        </w:rPr>
      </w:pPr>
      <w:r>
        <w:rPr>
          <w:szCs w:val="22"/>
        </w:rPr>
        <w:t xml:space="preserve">Wykonawcy wspólnie ubiegający się o udzielenie zamówienia dołączają do oferty oświadczenie, z którego wynika, które dostawy wykonają poszczególni wykonawcy. </w:t>
      </w:r>
    </w:p>
    <w:p>
      <w:pPr>
        <w:pStyle w:val="Normal"/>
        <w:widowControl w:val="false"/>
        <w:numPr>
          <w:ilvl w:val="0"/>
          <w:numId w:val="33"/>
        </w:numPr>
        <w:suppressAutoHyphens w:val="true"/>
        <w:spacing w:lineRule="auto" w:line="360"/>
        <w:ind w:left="284" w:hanging="284"/>
        <w:jc w:val="both"/>
        <w:rPr>
          <w:szCs w:val="22"/>
        </w:rPr>
      </w:pPr>
      <w:r>
        <w:rPr>
          <w:szCs w:val="22"/>
        </w:rPr>
        <w:t xml:space="preserve">Oświadczenia i dokumenty potwierdzające brak podstaw do wykluczenia z postępowania składa każdy z Wykonawców wspólnie ubiegających się o zamówienie. </w:t>
      </w:r>
    </w:p>
    <w:p>
      <w:pPr>
        <w:pStyle w:val="Normal"/>
        <w:widowControl w:val="false"/>
        <w:numPr>
          <w:ilvl w:val="0"/>
          <w:numId w:val="15"/>
        </w:numPr>
        <w:suppressAutoHyphens w:val="true"/>
        <w:spacing w:lineRule="auto" w:line="360" w:beforeAutospacing="1" w:after="0"/>
        <w:ind w:left="567" w:hanging="425"/>
        <w:jc w:val="both"/>
        <w:rPr>
          <w:b/>
          <w:b/>
          <w:bCs/>
          <w:szCs w:val="24"/>
        </w:rPr>
      </w:pPr>
      <w:r>
        <w:rPr>
          <w:b/>
          <w:bCs/>
          <w:szCs w:val="24"/>
        </w:rPr>
        <w:t xml:space="preserve">SPOSÓB KOMUNIKACJI ORAZ WYJAŚNIENIA TREŚCI SWZ </w:t>
      </w:r>
    </w:p>
    <w:p>
      <w:pPr>
        <w:pStyle w:val="Normal"/>
        <w:widowControl w:val="false"/>
        <w:numPr>
          <w:ilvl w:val="0"/>
          <w:numId w:val="34"/>
        </w:numPr>
        <w:suppressAutoHyphens w:val="true"/>
        <w:spacing w:lineRule="auto" w:line="360"/>
        <w:ind w:left="284" w:hanging="284"/>
        <w:jc w:val="both"/>
        <w:rPr>
          <w:b/>
          <w:b/>
          <w:bCs/>
          <w:szCs w:val="24"/>
        </w:rPr>
      </w:pPr>
      <w:r>
        <w:rPr>
          <w:szCs w:val="24"/>
        </w:rPr>
        <w:t xml:space="preserve">Komunikacja w postępowaniu o udzielenie zamówienia i w konkursie, w tym składanie ofert, wymiana informacji oraz przekazywanie dokumentów lub oświadczeń między zamawiającym a wykonawca odbywa się w formie elektronicznej, drogą pocztową lub bezpośredni kontakt z placówką w godzinach jej pracy. Przez środki komunikacji elektronicznej rozumie się środki komunikacji elektronicznej zdefiniowane w ustawie z dnia 18 lipca 2002 r. o świadczeniu usług drogą elektroniczną (Dz. U. z 2020 r. poz. 344). </w:t>
      </w:r>
    </w:p>
    <w:p>
      <w:pPr>
        <w:pStyle w:val="Normal"/>
        <w:widowControl w:val="false"/>
        <w:numPr>
          <w:ilvl w:val="0"/>
          <w:numId w:val="34"/>
        </w:numPr>
        <w:suppressAutoHyphens w:val="true"/>
        <w:spacing w:lineRule="auto" w:line="360"/>
        <w:ind w:left="284" w:hanging="284"/>
        <w:jc w:val="both"/>
        <w:rPr>
          <w:b/>
          <w:b/>
          <w:bCs/>
          <w:szCs w:val="24"/>
        </w:rPr>
      </w:pPr>
      <w:r>
        <w:rPr>
          <w:szCs w:val="24"/>
        </w:rPr>
        <w:t xml:space="preserve">Ofertę, oświadczenia, pełnomocnictwa, zobowiązanie podmiotu udostępniającego zasoby sporządza się </w:t>
      </w:r>
      <w:r>
        <w:rPr>
          <w:rStyle w:val="Markedcontent"/>
          <w:szCs w:val="24"/>
        </w:rPr>
        <w:t>w przypadku wersji elektronicznej w ogólnie dostępnych formatach danych, w szczególności w formatach .txt, .rtf, .pdf, .doc, .docx, .odt opatrzonej podpisem zaufanym lub podpisem osobistym a w przypadku skanu dokumentów opatrzonej stosowną</w:t>
      </w:r>
      <w:r>
        <w:rPr>
          <w:szCs w:val="24"/>
        </w:rPr>
        <w:t xml:space="preserve"> </w:t>
      </w:r>
      <w:r>
        <w:rPr>
          <w:rStyle w:val="Markedcontent"/>
          <w:szCs w:val="24"/>
        </w:rPr>
        <w:t xml:space="preserve">parafką/podpisem. </w:t>
      </w:r>
    </w:p>
    <w:p>
      <w:pPr>
        <w:pStyle w:val="Normal"/>
        <w:widowControl w:val="false"/>
        <w:numPr>
          <w:ilvl w:val="0"/>
          <w:numId w:val="34"/>
        </w:numPr>
        <w:suppressAutoHyphens w:val="true"/>
        <w:spacing w:lineRule="auto" w:line="360"/>
        <w:ind w:left="284" w:hanging="284"/>
        <w:jc w:val="both"/>
        <w:rPr>
          <w:b/>
          <w:b/>
          <w:bCs/>
          <w:szCs w:val="24"/>
        </w:rPr>
      </w:pPr>
      <w:r>
        <w:rPr>
          <w:szCs w:val="24"/>
        </w:rPr>
        <w:t xml:space="preserve">Zawiadomienia, oświadczenia, wnioski lub informacje Wykonawcy przekazują: </w:t>
      </w:r>
    </w:p>
    <w:p>
      <w:pPr>
        <w:pStyle w:val="Normal"/>
        <w:widowControl w:val="false"/>
        <w:numPr>
          <w:ilvl w:val="0"/>
          <w:numId w:val="35"/>
        </w:numPr>
        <w:suppressAutoHyphens w:val="true"/>
        <w:spacing w:lineRule="auto" w:line="360"/>
        <w:jc w:val="both"/>
        <w:rPr>
          <w:szCs w:val="24"/>
        </w:rPr>
      </w:pPr>
      <w:r>
        <w:rPr>
          <w:szCs w:val="24"/>
        </w:rPr>
        <w:t>drogą elektroniczną: nzozmedyk@vp.pl</w:t>
      </w:r>
      <w:r>
        <w:rPr>
          <w:rFonts w:eastAsia="Lucida Sans Unicode"/>
          <w:b/>
          <w:kern w:val="2"/>
          <w:szCs w:val="24"/>
          <w:lang w:eastAsia="hi-IN" w:bidi="hi-IN"/>
        </w:rPr>
        <w:t xml:space="preserve"> </w:t>
      </w:r>
    </w:p>
    <w:p>
      <w:pPr>
        <w:pStyle w:val="Normal"/>
        <w:widowControl w:val="false"/>
        <w:numPr>
          <w:ilvl w:val="0"/>
          <w:numId w:val="34"/>
        </w:numPr>
        <w:suppressAutoHyphens w:val="true"/>
        <w:spacing w:lineRule="auto" w:line="360"/>
        <w:ind w:left="284" w:hanging="284"/>
        <w:jc w:val="both"/>
        <w:rPr>
          <w:rFonts w:eastAsia="Calibri"/>
          <w:b/>
          <w:b/>
          <w:bCs/>
          <w:szCs w:val="24"/>
          <w:lang w:eastAsia="en-US"/>
        </w:rPr>
      </w:pPr>
      <w:r>
        <w:rPr>
          <w:rFonts w:eastAsia="Calibri"/>
          <w:b/>
          <w:bCs/>
          <w:szCs w:val="24"/>
          <w:lang w:eastAsia="en-US"/>
        </w:rPr>
        <w:t xml:space="preserve">Osobą uprawnioną przez Zamawiającego do porozumiewania się z Wykonawcami jest </w:t>
      </w:r>
      <w:r>
        <w:rPr>
          <w:szCs w:val="24"/>
        </w:rPr>
        <w:t xml:space="preserve">Norbert Kozak, mail:  </w:t>
      </w:r>
      <w:r>
        <w:rPr>
          <w:rFonts w:eastAsia="Calibri"/>
          <w:b/>
          <w:bCs/>
          <w:szCs w:val="24"/>
          <w:lang w:eastAsia="en-US"/>
        </w:rPr>
        <w:t>norbertkozak@poczta.onet.pl, tel:  667901133</w:t>
      </w:r>
    </w:p>
    <w:p>
      <w:pPr>
        <w:pStyle w:val="Normal"/>
        <w:widowControl w:val="false"/>
        <w:numPr>
          <w:ilvl w:val="0"/>
          <w:numId w:val="34"/>
        </w:numPr>
        <w:suppressAutoHyphens w:val="true"/>
        <w:spacing w:lineRule="auto" w:line="360"/>
        <w:ind w:left="284" w:hanging="284"/>
        <w:jc w:val="both"/>
        <w:rPr>
          <w:szCs w:val="24"/>
        </w:rPr>
      </w:pPr>
      <w:r>
        <w:rPr>
          <w:b/>
          <w:bCs/>
          <w:szCs w:val="24"/>
        </w:rPr>
        <w:t xml:space="preserve">Wykonawca może zwrócić się do zamawiającego z wnioskiem o wyjaśnienie treści ZO. </w:t>
      </w:r>
    </w:p>
    <w:p>
      <w:pPr>
        <w:pStyle w:val="Normal"/>
        <w:widowControl w:val="false"/>
        <w:numPr>
          <w:ilvl w:val="0"/>
          <w:numId w:val="34"/>
        </w:numPr>
        <w:suppressAutoHyphens w:val="true"/>
        <w:spacing w:lineRule="auto" w:line="360"/>
        <w:ind w:left="284" w:hanging="284"/>
        <w:jc w:val="both"/>
        <w:rPr>
          <w:szCs w:val="24"/>
        </w:rPr>
      </w:pPr>
      <w:r>
        <w:rPr>
          <w:szCs w:val="24"/>
        </w:rPr>
        <w:t xml:space="preserve">Zamawiający jest obowiązany udzielić wyjaśnień niezwłocznie, jednak nie później niż na 2 dni przed upływem terminu składania odpowiednio ofert, pod warunkiem że wniosek o wyjaśnienie treści ZO wpłynął do zamawiającego nie później niż na 4 dni przed upływem terminu składania odpowiednio ofert. </w:t>
      </w:r>
    </w:p>
    <w:p>
      <w:pPr>
        <w:pStyle w:val="Normal"/>
        <w:widowControl w:val="false"/>
        <w:numPr>
          <w:ilvl w:val="0"/>
          <w:numId w:val="34"/>
        </w:numPr>
        <w:suppressAutoHyphens w:val="true"/>
        <w:spacing w:lineRule="auto" w:line="360"/>
        <w:ind w:left="284" w:hanging="284"/>
        <w:jc w:val="both"/>
        <w:rPr>
          <w:szCs w:val="24"/>
        </w:rPr>
      </w:pPr>
      <w:r>
        <w:rPr>
          <w:szCs w:val="24"/>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 przypadku gdy wniosek o wyjaśnienie treści ZO nie wpłynął w terminie, o którym mowa w ust. 10, zamawiający nie ma obowiązku udzielania wyjaśnień ZO oraz obowiązku przedłużenia terminu składania ofert. </w:t>
      </w:r>
    </w:p>
    <w:p>
      <w:pPr>
        <w:pStyle w:val="Normal"/>
        <w:widowControl w:val="false"/>
        <w:numPr>
          <w:ilvl w:val="0"/>
          <w:numId w:val="34"/>
        </w:numPr>
        <w:suppressAutoHyphens w:val="true"/>
        <w:spacing w:lineRule="auto" w:line="360"/>
        <w:ind w:left="284" w:hanging="284"/>
        <w:jc w:val="both"/>
        <w:rPr>
          <w:szCs w:val="24"/>
        </w:rPr>
      </w:pPr>
      <w:r>
        <w:rPr>
          <w:szCs w:val="24"/>
        </w:rPr>
        <w:t>Przedłużenie terminu składania ofert, o których mowa w ust. 11, nie wpływa na bieg terminu składania wniosku o wyjaśnienie treści ZO.</w:t>
      </w:r>
    </w:p>
    <w:p>
      <w:pPr>
        <w:pStyle w:val="Normal"/>
        <w:widowControl w:val="false"/>
        <w:numPr>
          <w:ilvl w:val="0"/>
          <w:numId w:val="49"/>
        </w:numPr>
        <w:suppressAutoHyphens w:val="true"/>
        <w:spacing w:lineRule="auto" w:line="360" w:beforeAutospacing="1" w:after="0"/>
        <w:ind w:left="567" w:hanging="425"/>
        <w:jc w:val="both"/>
        <w:rPr>
          <w:b/>
          <w:b/>
          <w:bCs/>
          <w:szCs w:val="24"/>
        </w:rPr>
      </w:pPr>
      <w:r>
        <w:rPr>
          <w:b/>
          <w:bCs/>
          <w:szCs w:val="24"/>
        </w:rPr>
        <w:t>TERMIN ZWIĄZANIA OFERTĄ</w:t>
      </w:r>
    </w:p>
    <w:p>
      <w:pPr>
        <w:pStyle w:val="Normal"/>
        <w:widowControl w:val="false"/>
        <w:numPr>
          <w:ilvl w:val="0"/>
          <w:numId w:val="40"/>
        </w:numPr>
        <w:suppressAutoHyphens w:val="true"/>
        <w:spacing w:lineRule="auto" w:line="360"/>
        <w:ind w:left="284" w:hanging="284"/>
        <w:jc w:val="both"/>
        <w:rPr>
          <w:bCs/>
          <w:szCs w:val="24"/>
        </w:rPr>
      </w:pPr>
      <w:r>
        <w:rPr>
          <w:bCs/>
          <w:szCs w:val="24"/>
        </w:rPr>
        <w:t xml:space="preserve">Wykonawca będzie związany ofertą od dnia upływu terminu składania ofert, przy czym pierwszym dniem terminu związania ofertą jest dzień, w którym upływa termin składania ofert, przez okres 30 dni, </w:t>
      </w:r>
    </w:p>
    <w:p>
      <w:pPr>
        <w:pStyle w:val="Normal"/>
        <w:widowControl w:val="false"/>
        <w:numPr>
          <w:ilvl w:val="0"/>
          <w:numId w:val="40"/>
        </w:numPr>
        <w:suppressAutoHyphens w:val="true"/>
        <w:spacing w:lineRule="auto" w:line="360"/>
        <w:ind w:left="284" w:hanging="284"/>
        <w:jc w:val="both"/>
        <w:rPr>
          <w:bCs/>
          <w:szCs w:val="24"/>
        </w:rPr>
      </w:pPr>
      <w:r>
        <w:rPr>
          <w:bCs/>
          <w:szCs w:val="24"/>
        </w:rPr>
        <w:t xml:space="preserve">W przypadku gdy wybór najkorzystniejszej oferty nie nastąpi przed upływem terminu związania ofertą, określonym w ust. 1 powyżej, Zamawiający przed upływem terminu związania ofertą zwraca się jednokrotnie do Wykonawców o wyrażenie zgody na przedłużenie tego terminu o wskazany przez niego okres, nie dłuższy niż 30 dni. </w:t>
      </w:r>
    </w:p>
    <w:p>
      <w:pPr>
        <w:pStyle w:val="Normal"/>
        <w:widowControl w:val="false"/>
        <w:numPr>
          <w:ilvl w:val="0"/>
          <w:numId w:val="40"/>
        </w:numPr>
        <w:suppressAutoHyphens w:val="true"/>
        <w:spacing w:lineRule="auto" w:line="360"/>
        <w:ind w:left="284" w:hanging="284"/>
        <w:jc w:val="both"/>
        <w:rPr>
          <w:bCs/>
          <w:szCs w:val="24"/>
        </w:rPr>
      </w:pPr>
      <w:r>
        <w:rPr>
          <w:bCs/>
          <w:szCs w:val="24"/>
        </w:rPr>
        <w:t>Przedłużenie terminu związania ofertą, o którym mowa w ust. 2 powyżej, wymaga złożenia przez Wykonawcę pisemnego oświadczenia o wyrażeniu zgody na przedłużenie terminu związania ofertą.</w:t>
      </w:r>
    </w:p>
    <w:p>
      <w:pPr>
        <w:pStyle w:val="Normal"/>
        <w:widowControl w:val="false"/>
        <w:numPr>
          <w:ilvl w:val="0"/>
          <w:numId w:val="40"/>
        </w:numPr>
        <w:suppressAutoHyphens w:val="true"/>
        <w:spacing w:lineRule="auto" w:line="360"/>
        <w:ind w:left="284" w:hanging="284"/>
        <w:jc w:val="both"/>
        <w:rPr>
          <w:bCs/>
          <w:szCs w:val="24"/>
        </w:rPr>
      </w:pPr>
      <w:r>
        <w:rPr>
          <w:bCs/>
          <w:szCs w:val="24"/>
        </w:rPr>
        <w:t xml:space="preserve">Zamawiający, odrzuci ofertę, jeżeli Wykonawca nie wyrazi pisemnej zgody na przedłużenie terminu związania ofertą. </w:t>
      </w:r>
    </w:p>
    <w:p>
      <w:pPr>
        <w:pStyle w:val="Normal"/>
        <w:widowControl w:val="false"/>
        <w:numPr>
          <w:ilvl w:val="0"/>
          <w:numId w:val="50"/>
        </w:numPr>
        <w:suppressAutoHyphens w:val="true"/>
        <w:spacing w:lineRule="auto" w:line="360" w:beforeAutospacing="1" w:after="0"/>
        <w:ind w:left="567" w:hanging="425"/>
        <w:jc w:val="both"/>
        <w:rPr>
          <w:b/>
          <w:b/>
          <w:bCs/>
          <w:szCs w:val="24"/>
        </w:rPr>
      </w:pPr>
      <w:r>
        <w:rPr>
          <w:b/>
          <w:bCs/>
          <w:szCs w:val="24"/>
        </w:rPr>
        <w:t>OPIS SPOSOBU PRZYGOTOWANIA OFERTY</w:t>
      </w:r>
    </w:p>
    <w:p>
      <w:pPr>
        <w:pStyle w:val="Normal"/>
        <w:widowControl w:val="false"/>
        <w:numPr>
          <w:ilvl w:val="0"/>
          <w:numId w:val="41"/>
        </w:numPr>
        <w:suppressAutoHyphens w:val="true"/>
        <w:spacing w:lineRule="auto" w:line="360"/>
        <w:ind w:left="284" w:hanging="284"/>
        <w:jc w:val="both"/>
        <w:rPr>
          <w:bCs/>
          <w:szCs w:val="24"/>
        </w:rPr>
      </w:pPr>
      <w:r>
        <w:rPr>
          <w:bCs/>
          <w:szCs w:val="24"/>
        </w:rPr>
        <w:t xml:space="preserve">Ofertę należy złożyć drogą elektroniczną na adres mail </w:t>
      </w:r>
      <w:r>
        <w:rPr>
          <w:szCs w:val="24"/>
        </w:rPr>
        <w:t>nzozmedyk@vp.pl</w:t>
      </w:r>
      <w:r>
        <w:rPr>
          <w:bCs/>
          <w:szCs w:val="24"/>
        </w:rPr>
        <w:t>, albo osobiście na adres zamawiającego albo drogą pocztową, w zamkniętej kopercie, opieczętowanej pieczęcią firmową oferenta oraz z zapisem „Oferta w odpowiedzi na zapytanie ofertowe nr 1/2023.</w:t>
      </w:r>
    </w:p>
    <w:p>
      <w:pPr>
        <w:pStyle w:val="Normal"/>
        <w:widowControl w:val="false"/>
        <w:numPr>
          <w:ilvl w:val="0"/>
          <w:numId w:val="41"/>
        </w:numPr>
        <w:suppressAutoHyphens w:val="true"/>
        <w:spacing w:lineRule="auto" w:line="360"/>
        <w:ind w:left="284" w:hanging="284"/>
        <w:jc w:val="both"/>
        <w:rPr>
          <w:bCs/>
          <w:szCs w:val="24"/>
        </w:rPr>
      </w:pPr>
      <w:r>
        <w:rPr>
          <w:bCs/>
          <w:szCs w:val="24"/>
        </w:rPr>
        <w:t>Oferent powinien złożyć ofertę na formularzu stanowiącym załącznik nr 1 do niniejszego</w:t>
        <w:br/>
        <w:t>zapytania.</w:t>
      </w:r>
    </w:p>
    <w:p>
      <w:pPr>
        <w:pStyle w:val="Normal"/>
        <w:widowControl w:val="false"/>
        <w:numPr>
          <w:ilvl w:val="0"/>
          <w:numId w:val="41"/>
        </w:numPr>
        <w:suppressAutoHyphens w:val="true"/>
        <w:spacing w:lineRule="auto" w:line="360"/>
        <w:ind w:left="284" w:hanging="284"/>
        <w:jc w:val="both"/>
        <w:rPr>
          <w:bCs/>
          <w:szCs w:val="24"/>
        </w:rPr>
      </w:pPr>
      <w:r>
        <w:rPr>
          <w:bCs/>
          <w:szCs w:val="24"/>
        </w:rPr>
        <w:t>Każda strona oferty i jej załączników zawierająca jakąkolwiek treść musi być parafowana</w:t>
        <w:br/>
        <w:t>(w przypadku wersji elektronicznej skan dokumentów musi być opatrzony stosowną</w:t>
        <w:br/>
        <w:t>parafką/podpisem).</w:t>
      </w:r>
    </w:p>
    <w:p>
      <w:pPr>
        <w:pStyle w:val="Normal"/>
        <w:widowControl w:val="false"/>
        <w:numPr>
          <w:ilvl w:val="0"/>
          <w:numId w:val="41"/>
        </w:numPr>
        <w:suppressAutoHyphens w:val="true"/>
        <w:spacing w:lineRule="auto" w:line="360"/>
        <w:ind w:left="284" w:hanging="284"/>
        <w:jc w:val="both"/>
        <w:rPr>
          <w:bCs/>
          <w:szCs w:val="24"/>
        </w:rPr>
      </w:pPr>
      <w:r>
        <w:rPr>
          <w:bCs/>
          <w:szCs w:val="24"/>
        </w:rPr>
        <w:t>Oferta musi być podpisana przez osobę do tego upoważnioną, która widnieje w Krajowym</w:t>
        <w:br/>
        <w:t>Rejestrze Sądowym, wydruku z Centralnej Ewidencji i Informacji o Działalności Gospodarczej na terytorium RP (CEIDG) lub innym dokumencie zaświadczającym o jej umocowaniu prawnym</w:t>
      </w:r>
    </w:p>
    <w:p>
      <w:pPr>
        <w:pStyle w:val="Normal"/>
        <w:widowControl w:val="false"/>
        <w:numPr>
          <w:ilvl w:val="0"/>
          <w:numId w:val="41"/>
        </w:numPr>
        <w:suppressAutoHyphens w:val="true"/>
        <w:spacing w:lineRule="auto" w:line="360"/>
        <w:ind w:left="284" w:hanging="284"/>
        <w:jc w:val="both"/>
        <w:rPr>
          <w:bCs/>
          <w:szCs w:val="24"/>
        </w:rPr>
      </w:pPr>
      <w:r>
        <w:rPr>
          <w:bCs/>
          <w:szCs w:val="24"/>
        </w:rPr>
        <w:t>W przypadku podpisania oferty przez osobę niewymienioną w ww. rejestrach konieczne jest dołączenie dokumentu zaświadczającego o jej umocowaniu prawnym.</w:t>
      </w:r>
    </w:p>
    <w:p>
      <w:pPr>
        <w:pStyle w:val="Normal"/>
        <w:widowControl w:val="false"/>
        <w:numPr>
          <w:ilvl w:val="0"/>
          <w:numId w:val="41"/>
        </w:numPr>
        <w:suppressAutoHyphens w:val="true"/>
        <w:spacing w:lineRule="auto" w:line="360"/>
        <w:ind w:left="284" w:hanging="284"/>
        <w:jc w:val="both"/>
        <w:rPr>
          <w:bCs/>
          <w:szCs w:val="24"/>
        </w:rPr>
      </w:pPr>
      <w:r>
        <w:rPr>
          <w:bCs/>
          <w:szCs w:val="24"/>
        </w:rPr>
        <w:t>Poświadczenia za zgodność z oryginałem dokonuje odpowiednio wykonawca, podmiot, na którego zdolnościach lub sytuacji polega wykonawca, wykonawcy wspólnie ubiegający się o udzielenie zamówienia albo podwykonawca, w zakresie dokumentów, które każdego z nich dotyczą</w:t>
      </w:r>
    </w:p>
    <w:p>
      <w:pPr>
        <w:pStyle w:val="Normal"/>
        <w:widowControl w:val="false"/>
        <w:numPr>
          <w:ilvl w:val="0"/>
          <w:numId w:val="41"/>
        </w:numPr>
        <w:suppressAutoHyphens w:val="true"/>
        <w:spacing w:lineRule="auto" w:line="360"/>
        <w:ind w:left="284" w:hanging="284"/>
        <w:jc w:val="both"/>
        <w:rPr>
          <w:bCs/>
          <w:szCs w:val="24"/>
        </w:rPr>
      </w:pPr>
      <w:r>
        <w:rPr>
          <w:bCs/>
          <w:szCs w:val="24"/>
        </w:rPr>
        <w:t>Oferta powinna być:</w:t>
      </w:r>
    </w:p>
    <w:p>
      <w:pPr>
        <w:pStyle w:val="Normal"/>
        <w:widowControl w:val="false"/>
        <w:numPr>
          <w:ilvl w:val="0"/>
          <w:numId w:val="42"/>
        </w:numPr>
        <w:suppressAutoHyphens w:val="true"/>
        <w:spacing w:lineRule="auto" w:line="360"/>
        <w:jc w:val="both"/>
        <w:rPr>
          <w:bCs/>
          <w:szCs w:val="24"/>
        </w:rPr>
      </w:pPr>
      <w:r>
        <w:rPr>
          <w:bCs/>
          <w:szCs w:val="24"/>
        </w:rPr>
        <w:t>sporządzona na podstawie załączników niniejszego ZO w języku polskim,</w:t>
      </w:r>
    </w:p>
    <w:p>
      <w:pPr>
        <w:pStyle w:val="Normal"/>
        <w:widowControl w:val="false"/>
        <w:numPr>
          <w:ilvl w:val="0"/>
          <w:numId w:val="42"/>
        </w:numPr>
        <w:suppressAutoHyphens w:val="true"/>
        <w:spacing w:lineRule="auto" w:line="360"/>
        <w:jc w:val="both"/>
        <w:rPr>
          <w:bCs/>
          <w:szCs w:val="24"/>
        </w:rPr>
      </w:pPr>
      <w:r>
        <w:rPr>
          <w:bCs/>
          <w:szCs w:val="24"/>
        </w:rPr>
        <w:t>złożona drogą elektroniczną na adres nzozmedyk@vp.pl, droga pocztową bądź osobiście,</w:t>
      </w:r>
    </w:p>
    <w:p>
      <w:pPr>
        <w:pStyle w:val="Normal"/>
        <w:widowControl w:val="false"/>
        <w:numPr>
          <w:ilvl w:val="0"/>
          <w:numId w:val="42"/>
        </w:numPr>
        <w:suppressAutoHyphens w:val="true"/>
        <w:spacing w:lineRule="auto" w:line="360"/>
        <w:jc w:val="both"/>
        <w:rPr>
          <w:bCs/>
          <w:szCs w:val="24"/>
        </w:rPr>
      </w:pPr>
      <w:r>
        <w:rPr>
          <w:bCs/>
          <w:szCs w:val="24"/>
        </w:rPr>
        <w:t>podpisana przez osobę/osoby upoważnioną/upoważnione</w:t>
      </w:r>
    </w:p>
    <w:p>
      <w:pPr>
        <w:pStyle w:val="Normal"/>
        <w:widowControl w:val="false"/>
        <w:numPr>
          <w:ilvl w:val="0"/>
          <w:numId w:val="53"/>
        </w:numPr>
        <w:suppressAutoHyphens w:val="true"/>
        <w:spacing w:lineRule="auto" w:line="360"/>
        <w:ind w:left="284" w:hanging="284"/>
        <w:jc w:val="both"/>
        <w:rPr>
          <w:bCs/>
          <w:szCs w:val="24"/>
        </w:rPr>
      </w:pPr>
      <w:r>
        <w:rPr>
          <w:b/>
          <w:bCs/>
          <w:szCs w:val="24"/>
        </w:rPr>
        <w:t>Dokumenty, które należy złożyć:</w:t>
      </w:r>
    </w:p>
    <w:p>
      <w:pPr>
        <w:pStyle w:val="Normal"/>
        <w:widowControl w:val="false"/>
        <w:numPr>
          <w:ilvl w:val="0"/>
          <w:numId w:val="43"/>
        </w:numPr>
        <w:suppressAutoHyphens w:val="true"/>
        <w:spacing w:lineRule="auto" w:line="360"/>
        <w:jc w:val="both"/>
        <w:rPr>
          <w:b/>
          <w:b/>
          <w:bCs/>
          <w:szCs w:val="24"/>
        </w:rPr>
      </w:pPr>
      <w:r>
        <w:rPr>
          <w:bCs/>
          <w:szCs w:val="24"/>
        </w:rPr>
        <w:t xml:space="preserve">Formularz oferty – </w:t>
      </w:r>
      <w:r>
        <w:rPr>
          <w:b/>
          <w:bCs/>
          <w:szCs w:val="24"/>
        </w:rPr>
        <w:t>Załącznik nr 1 do ZO wraz z załącznikiem 1A.</w:t>
      </w:r>
    </w:p>
    <w:p>
      <w:pPr>
        <w:pStyle w:val="Normal"/>
        <w:widowControl w:val="false"/>
        <w:numPr>
          <w:ilvl w:val="0"/>
          <w:numId w:val="54"/>
        </w:numPr>
        <w:suppressAutoHyphens w:val="true"/>
        <w:spacing w:lineRule="auto" w:line="360"/>
        <w:ind w:left="284" w:hanging="284"/>
        <w:jc w:val="both"/>
        <w:rPr>
          <w:b/>
          <w:b/>
          <w:bCs/>
          <w:szCs w:val="24"/>
        </w:rPr>
      </w:pPr>
      <w:r>
        <w:rPr>
          <w:b/>
          <w:bCs/>
          <w:szCs w:val="24"/>
        </w:rPr>
        <w:t>Dokumenty składane wraz z ofertą:</w:t>
      </w:r>
    </w:p>
    <w:p>
      <w:pPr>
        <w:pStyle w:val="Normal"/>
        <w:widowControl w:val="false"/>
        <w:numPr>
          <w:ilvl w:val="0"/>
          <w:numId w:val="44"/>
        </w:numPr>
        <w:suppressAutoHyphens w:val="true"/>
        <w:spacing w:lineRule="auto" w:line="360"/>
        <w:jc w:val="both"/>
        <w:rPr>
          <w:b/>
          <w:b/>
          <w:bCs/>
          <w:szCs w:val="24"/>
        </w:rPr>
      </w:pPr>
      <w:r>
        <w:rPr>
          <w:bCs/>
          <w:szCs w:val="24"/>
        </w:rPr>
        <w:t xml:space="preserve">Oświadczenie Wykonawcy o niepodleganiu wykluczeniu) - </w:t>
      </w:r>
      <w:r>
        <w:rPr>
          <w:b/>
          <w:bCs/>
          <w:szCs w:val="24"/>
        </w:rPr>
        <w:t xml:space="preserve">Załącznik nr 2 do SWZ, </w:t>
      </w:r>
    </w:p>
    <w:p>
      <w:pPr>
        <w:pStyle w:val="Normal"/>
        <w:widowControl w:val="false"/>
        <w:numPr>
          <w:ilvl w:val="0"/>
          <w:numId w:val="44"/>
        </w:numPr>
        <w:suppressAutoHyphens w:val="true"/>
        <w:spacing w:lineRule="auto" w:line="360" w:before="0" w:after="0"/>
        <w:contextualSpacing/>
        <w:jc w:val="both"/>
        <w:rPr>
          <w:rFonts w:eastAsia="Calibri"/>
          <w:szCs w:val="24"/>
          <w:lang w:eastAsia="en-US"/>
        </w:rPr>
      </w:pPr>
      <w:r>
        <w:rPr>
          <w:rFonts w:eastAsia="Calibri"/>
          <w:b/>
          <w:szCs w:val="24"/>
          <w:lang w:eastAsia="en-US"/>
        </w:rPr>
        <w:t>Oświadczenie wykonawcy/wykonawcy</w:t>
      </w:r>
      <w:r>
        <w:rPr>
          <w:rFonts w:eastAsia="Calibri"/>
          <w:szCs w:val="24"/>
          <w:lang w:eastAsia="en-US"/>
        </w:rPr>
        <w:t xml:space="preserve"> wspólnie ubiegającego się o udzielenie zamówienia dotyczące przesłanek wykluczenia z art. art. 7 ust. 1 ustawy o szczególnych rozwiązaniach w zakresie przeciwdziałania wspieraniu agresji na Ukrainę oraz służących ochronie bezpieczeństwa narodowego </w:t>
      </w:r>
      <w:r>
        <w:rPr>
          <w:rFonts w:eastAsia="Calibri"/>
          <w:b/>
          <w:szCs w:val="24"/>
          <w:lang w:eastAsia="en-US"/>
        </w:rPr>
        <w:t>– Załącznik nr 6 do ZO,</w:t>
      </w:r>
    </w:p>
    <w:p>
      <w:pPr>
        <w:pStyle w:val="Normal"/>
        <w:widowControl w:val="false"/>
        <w:numPr>
          <w:ilvl w:val="0"/>
          <w:numId w:val="44"/>
        </w:numPr>
        <w:suppressAutoHyphens w:val="true"/>
        <w:spacing w:lineRule="auto" w:line="360"/>
        <w:jc w:val="both"/>
        <w:rPr>
          <w:szCs w:val="24"/>
        </w:rPr>
      </w:pPr>
      <w:r>
        <w:rPr>
          <w:szCs w:val="24"/>
        </w:rPr>
        <w:t xml:space="preserve">zobowiązanie innego podmiotu, o którym mowa w Rozdziale X ust. 3 ZO (jeżeli dotyczy); </w:t>
      </w:r>
    </w:p>
    <w:p>
      <w:pPr>
        <w:pStyle w:val="Normal"/>
        <w:widowControl w:val="false"/>
        <w:numPr>
          <w:ilvl w:val="0"/>
          <w:numId w:val="44"/>
        </w:numPr>
        <w:suppressAutoHyphens w:val="true"/>
        <w:spacing w:lineRule="auto" w:line="360"/>
        <w:jc w:val="both"/>
        <w:rPr>
          <w:szCs w:val="24"/>
        </w:rPr>
      </w:pPr>
      <w:r>
        <w:rPr>
          <w:szCs w:val="24"/>
        </w:rPr>
        <w:t>dokumenty, z których wynika prawo do podpisania oferty; odpowiednie pełnomocnictwa (jeżeli dotyczy),</w:t>
      </w:r>
    </w:p>
    <w:p>
      <w:pPr>
        <w:pStyle w:val="Normal"/>
        <w:widowControl w:val="false"/>
        <w:numPr>
          <w:ilvl w:val="0"/>
          <w:numId w:val="44"/>
        </w:numPr>
        <w:suppressAutoHyphens w:val="true"/>
        <w:spacing w:lineRule="auto" w:line="360"/>
        <w:jc w:val="both"/>
        <w:rPr>
          <w:szCs w:val="24"/>
        </w:rPr>
      </w:pPr>
      <w:r>
        <w:rPr>
          <w:szCs w:val="24"/>
        </w:rPr>
        <w:t>dokumenty potwierdzające wymagane parametry w oferowanych urządzeniach.</w:t>
      </w:r>
    </w:p>
    <w:p>
      <w:pPr>
        <w:pStyle w:val="Normal"/>
        <w:widowControl w:val="false"/>
        <w:numPr>
          <w:ilvl w:val="0"/>
          <w:numId w:val="51"/>
        </w:numPr>
        <w:suppressAutoHyphens w:val="true"/>
        <w:spacing w:lineRule="auto" w:line="360" w:beforeAutospacing="1" w:after="0"/>
        <w:ind w:left="567" w:hanging="425"/>
        <w:jc w:val="both"/>
        <w:rPr>
          <w:color w:val="000000"/>
          <w:szCs w:val="24"/>
        </w:rPr>
      </w:pPr>
      <w:r>
        <w:rPr>
          <w:b/>
          <w:bCs/>
          <w:color w:val="000000"/>
          <w:szCs w:val="24"/>
        </w:rPr>
        <w:t xml:space="preserve">SPOSÓB  ORAZ TERMIN SKŁADANIA I OTWARCIA OFERT </w:t>
      </w:r>
    </w:p>
    <w:p>
      <w:pPr>
        <w:pStyle w:val="Normal"/>
        <w:widowControl w:val="false"/>
        <w:numPr>
          <w:ilvl w:val="0"/>
          <w:numId w:val="45"/>
        </w:numPr>
        <w:suppressAutoHyphens w:val="true"/>
        <w:spacing w:lineRule="auto" w:line="360" w:beforeAutospacing="1" w:after="0"/>
        <w:ind w:left="284" w:hanging="360"/>
        <w:jc w:val="both"/>
        <w:rPr>
          <w:bCs/>
          <w:szCs w:val="24"/>
        </w:rPr>
      </w:pPr>
      <w:r>
        <w:rPr>
          <w:bCs/>
          <w:szCs w:val="24"/>
        </w:rPr>
        <w:t xml:space="preserve">Ofertę wraz z wymaganymi dokumentami należy przesłać drogą elektroniczną </w:t>
      </w:r>
      <w:r>
        <w:rPr>
          <w:szCs w:val="24"/>
        </w:rPr>
        <w:t>nzozmedyk@vp.pl</w:t>
      </w:r>
      <w:r>
        <w:rPr>
          <w:bCs/>
          <w:szCs w:val="24"/>
        </w:rPr>
        <w:t xml:space="preserve"> drogą pocztową bądź osobiście do dnia  </w:t>
      </w:r>
      <w:r>
        <w:rPr>
          <w:bCs/>
          <w:szCs w:val="24"/>
        </w:rPr>
        <w:t>05</w:t>
      </w:r>
      <w:r>
        <w:rPr>
          <w:bCs/>
          <w:szCs w:val="24"/>
        </w:rPr>
        <w:t xml:space="preserve"> </w:t>
      </w:r>
      <w:r>
        <w:rPr>
          <w:bCs/>
          <w:szCs w:val="24"/>
        </w:rPr>
        <w:t>maja</w:t>
      </w:r>
      <w:r>
        <w:rPr>
          <w:bCs/>
          <w:szCs w:val="24"/>
        </w:rPr>
        <w:t xml:space="preserve"> 2023 r. , do godz. 11:00.</w:t>
      </w:r>
    </w:p>
    <w:p>
      <w:pPr>
        <w:pStyle w:val="Normal"/>
        <w:widowControl w:val="false"/>
        <w:numPr>
          <w:ilvl w:val="0"/>
          <w:numId w:val="45"/>
        </w:numPr>
        <w:suppressAutoHyphens w:val="true"/>
        <w:spacing w:lineRule="auto" w:line="360" w:before="0" w:after="0"/>
        <w:ind w:left="284" w:hanging="284"/>
        <w:jc w:val="both"/>
        <w:rPr>
          <w:bCs/>
          <w:szCs w:val="24"/>
        </w:rPr>
      </w:pPr>
      <w:r>
        <w:rPr>
          <w:bCs/>
          <w:szCs w:val="24"/>
        </w:rPr>
        <w:t>Do oferty należy dołączyć wszystkie wymagane w ZO dokumenty i oświadczenia.</w:t>
      </w:r>
    </w:p>
    <w:p>
      <w:pPr>
        <w:pStyle w:val="Normal"/>
        <w:widowControl w:val="false"/>
        <w:numPr>
          <w:ilvl w:val="0"/>
          <w:numId w:val="45"/>
        </w:numPr>
        <w:suppressAutoHyphens w:val="true"/>
        <w:spacing w:lineRule="auto" w:line="360" w:before="0" w:after="0"/>
        <w:ind w:left="284" w:hanging="284"/>
        <w:jc w:val="both"/>
        <w:rPr>
          <w:bCs/>
          <w:szCs w:val="24"/>
        </w:rPr>
      </w:pPr>
      <w:r>
        <w:rPr>
          <w:bCs/>
          <w:szCs w:val="24"/>
        </w:rPr>
        <w:t>Za datę złożenia oferty przyjmuje się datę jej przesłania drogą elektroniczną,  złożenia osobiście w siedzibie Zmawiającego a w przypadku ofert nadsyłanych drogą pocztową liczy się data wpływu oferty do siedziby Zamawiającego.</w:t>
      </w:r>
    </w:p>
    <w:p>
      <w:pPr>
        <w:pStyle w:val="Normal"/>
        <w:widowControl w:val="false"/>
        <w:numPr>
          <w:ilvl w:val="0"/>
          <w:numId w:val="45"/>
        </w:numPr>
        <w:suppressAutoHyphens w:val="true"/>
        <w:spacing w:lineRule="auto" w:line="360" w:before="0" w:after="0"/>
        <w:ind w:left="284" w:hanging="284"/>
        <w:jc w:val="both"/>
        <w:rPr>
          <w:bCs/>
          <w:szCs w:val="24"/>
        </w:rPr>
      </w:pPr>
      <w:r>
        <w:rPr>
          <w:bCs/>
          <w:szCs w:val="24"/>
        </w:rPr>
        <w:t xml:space="preserve">Otwarcie ofert następuje niezwłocznie po upływie terminu składania ofert, nie później niż następnego dnia po dniu, w którym upłynął termin składania ofert </w:t>
      </w:r>
      <w:r>
        <w:rPr>
          <w:bCs/>
          <w:szCs w:val="24"/>
        </w:rPr>
        <w:t>06</w:t>
      </w:r>
      <w:r>
        <w:rPr>
          <w:bCs/>
          <w:szCs w:val="24"/>
        </w:rPr>
        <w:t xml:space="preserve"> </w:t>
      </w:r>
      <w:r>
        <w:rPr>
          <w:bCs/>
          <w:szCs w:val="24"/>
        </w:rPr>
        <w:t>maj</w:t>
      </w:r>
      <w:r>
        <w:rPr>
          <w:bCs/>
          <w:szCs w:val="24"/>
        </w:rPr>
        <w:t xml:space="preserve"> 2023 r. o godz. 11:05</w:t>
      </w:r>
    </w:p>
    <w:p>
      <w:pPr>
        <w:pStyle w:val="Normal"/>
        <w:widowControl w:val="false"/>
        <w:numPr>
          <w:ilvl w:val="0"/>
          <w:numId w:val="45"/>
        </w:numPr>
        <w:suppressAutoHyphens w:val="true"/>
        <w:spacing w:lineRule="auto" w:line="360" w:before="0" w:after="0"/>
        <w:ind w:left="284" w:hanging="284"/>
        <w:jc w:val="both"/>
        <w:rPr>
          <w:bCs/>
          <w:szCs w:val="24"/>
        </w:rPr>
      </w:pPr>
      <w:r>
        <w:rPr>
          <w:bCs/>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Normal"/>
        <w:widowControl w:val="false"/>
        <w:numPr>
          <w:ilvl w:val="0"/>
          <w:numId w:val="45"/>
        </w:numPr>
        <w:suppressAutoHyphens w:val="true"/>
        <w:spacing w:lineRule="auto" w:line="360" w:before="0" w:after="0"/>
        <w:ind w:left="426" w:hanging="426"/>
        <w:jc w:val="both"/>
        <w:rPr>
          <w:bCs/>
          <w:szCs w:val="24"/>
        </w:rPr>
      </w:pPr>
      <w:r>
        <w:rPr>
          <w:bCs/>
          <w:szCs w:val="24"/>
        </w:rPr>
        <w:t>Zamawiający poinformuje o zmianie terminu otwarcia ofert na stronie internetowej prowadzonego postępowania.</w:t>
      </w:r>
    </w:p>
    <w:p>
      <w:pPr>
        <w:pStyle w:val="Normal"/>
        <w:widowControl w:val="false"/>
        <w:numPr>
          <w:ilvl w:val="0"/>
          <w:numId w:val="45"/>
        </w:numPr>
        <w:suppressAutoHyphens w:val="true"/>
        <w:spacing w:lineRule="auto" w:line="360" w:before="0" w:after="0"/>
        <w:ind w:left="426" w:hanging="426"/>
        <w:jc w:val="both"/>
        <w:rPr>
          <w:bCs/>
          <w:szCs w:val="24"/>
        </w:rPr>
      </w:pPr>
      <w:r>
        <w:rPr>
          <w:bCs/>
          <w:szCs w:val="24"/>
        </w:rPr>
        <w:t>Zamawiający, najpóźniej przed otwarciem ofert, udostępnia na stronie internetowej prowadzonego postępowania informację o kwocie, jaką zamierza przeznaczyć na sfinansowanie zamówienia.</w:t>
      </w:r>
    </w:p>
    <w:p>
      <w:pPr>
        <w:pStyle w:val="Normal"/>
        <w:widowControl w:val="false"/>
        <w:numPr>
          <w:ilvl w:val="0"/>
          <w:numId w:val="45"/>
        </w:numPr>
        <w:suppressAutoHyphens w:val="true"/>
        <w:spacing w:lineRule="auto" w:line="360" w:before="0" w:after="0"/>
        <w:ind w:left="426" w:hanging="426"/>
        <w:jc w:val="both"/>
        <w:rPr>
          <w:bCs/>
          <w:szCs w:val="24"/>
        </w:rPr>
      </w:pPr>
      <w:r>
        <w:rPr>
          <w:bCs/>
          <w:szCs w:val="24"/>
        </w:rPr>
        <w:t>Zamawiający, niezwłocznie po otwarciu ofert, udostępnia na stronie internetowej prowadzonego postępowania informacje o:</w:t>
      </w:r>
    </w:p>
    <w:p>
      <w:pPr>
        <w:pStyle w:val="Normal"/>
        <w:widowControl w:val="false"/>
        <w:numPr>
          <w:ilvl w:val="0"/>
          <w:numId w:val="46"/>
        </w:numPr>
        <w:suppressAutoHyphens w:val="true"/>
        <w:spacing w:lineRule="auto" w:line="360"/>
        <w:jc w:val="both"/>
        <w:rPr>
          <w:bCs/>
          <w:szCs w:val="24"/>
        </w:rPr>
      </w:pPr>
      <w:r>
        <w:rPr>
          <w:bCs/>
          <w:szCs w:val="24"/>
        </w:rPr>
        <w:t>nazwach albo imionach i nazwiskach oraz siedzibach lub miejscach prowadzonej działalności gospodarczej albo miejscach zamieszkania wykonawców, których oferty zostały otwarte;</w:t>
      </w:r>
    </w:p>
    <w:p>
      <w:pPr>
        <w:pStyle w:val="Normal"/>
        <w:widowControl w:val="false"/>
        <w:numPr>
          <w:ilvl w:val="0"/>
          <w:numId w:val="46"/>
        </w:numPr>
        <w:suppressAutoHyphens w:val="true"/>
        <w:spacing w:lineRule="auto" w:line="360" w:before="0" w:after="0"/>
        <w:jc w:val="both"/>
        <w:rPr>
          <w:bCs/>
          <w:szCs w:val="24"/>
        </w:rPr>
      </w:pPr>
      <w:r>
        <w:rPr>
          <w:bCs/>
          <w:szCs w:val="24"/>
        </w:rPr>
        <w:t>cenach lub kosztach zawartych w ofertach.</w:t>
      </w:r>
    </w:p>
    <w:p>
      <w:pPr>
        <w:pStyle w:val="Normal"/>
        <w:widowControl w:val="false"/>
        <w:numPr>
          <w:ilvl w:val="0"/>
          <w:numId w:val="51"/>
        </w:numPr>
        <w:suppressAutoHyphens w:val="true"/>
        <w:spacing w:lineRule="auto" w:line="360" w:beforeAutospacing="1" w:after="0"/>
        <w:ind w:left="426" w:hanging="284"/>
        <w:jc w:val="both"/>
        <w:rPr>
          <w:b/>
          <w:b/>
          <w:bCs/>
          <w:szCs w:val="22"/>
        </w:rPr>
      </w:pPr>
      <w:r>
        <w:rPr>
          <w:b/>
          <w:bCs/>
          <w:szCs w:val="22"/>
        </w:rPr>
        <w:t>SPOSÓB OBLICZANIA CENY</w:t>
      </w:r>
    </w:p>
    <w:p>
      <w:pPr>
        <w:pStyle w:val="Normal"/>
        <w:widowControl w:val="false"/>
        <w:numPr>
          <w:ilvl w:val="0"/>
          <w:numId w:val="36"/>
        </w:numPr>
        <w:suppressAutoHyphens w:val="true"/>
        <w:spacing w:lineRule="auto" w:line="360"/>
        <w:ind w:left="284" w:hanging="284"/>
        <w:jc w:val="both"/>
        <w:rPr>
          <w:b/>
          <w:b/>
          <w:bCs/>
          <w:szCs w:val="22"/>
        </w:rPr>
      </w:pPr>
      <w:r>
        <w:rPr>
          <w:szCs w:val="22"/>
        </w:rPr>
        <w:t xml:space="preserve">Wykonawca podaje cenę za realizację przedmiotu zamówienia zgodnie ze wzorem Formularza Ofertowego, stanowiącego </w:t>
      </w:r>
      <w:r>
        <w:rPr>
          <w:b/>
          <w:bCs/>
          <w:szCs w:val="22"/>
        </w:rPr>
        <w:t xml:space="preserve">Załącznik nr 1 do ZO. </w:t>
      </w:r>
    </w:p>
    <w:p>
      <w:pPr>
        <w:pStyle w:val="Normal"/>
        <w:widowControl w:val="false"/>
        <w:numPr>
          <w:ilvl w:val="0"/>
          <w:numId w:val="36"/>
        </w:numPr>
        <w:suppressAutoHyphens w:val="true"/>
        <w:spacing w:lineRule="auto" w:line="360"/>
        <w:ind w:left="284" w:hanging="284"/>
        <w:jc w:val="both"/>
        <w:rPr>
          <w:b/>
          <w:b/>
          <w:bCs/>
          <w:szCs w:val="22"/>
        </w:rPr>
      </w:pPr>
      <w:r>
        <w:rPr>
          <w:szCs w:val="22"/>
        </w:rPr>
        <w:t xml:space="preserve">Cena ofertowa brutto musi uwzględniać wszystkie koszty związane z realizacją przedmiotu zamówienia zgodnie z opisem przedmiotu zamówienia oraz istotnymi postanowieniami umowy określonymi w niniejszej ZO. Stawka podatku VAT w przedmiotowym postępowaniu wynosi  8 % i 23 %. </w:t>
      </w:r>
    </w:p>
    <w:p>
      <w:pPr>
        <w:pStyle w:val="Normal"/>
        <w:widowControl w:val="false"/>
        <w:numPr>
          <w:ilvl w:val="0"/>
          <w:numId w:val="36"/>
        </w:numPr>
        <w:suppressAutoHyphens w:val="true"/>
        <w:spacing w:lineRule="auto" w:line="360"/>
        <w:ind w:left="284" w:hanging="284"/>
        <w:jc w:val="both"/>
        <w:rPr>
          <w:b/>
          <w:b/>
          <w:bCs/>
          <w:szCs w:val="22"/>
        </w:rPr>
      </w:pPr>
      <w:r>
        <w:rPr>
          <w:szCs w:val="22"/>
        </w:rPr>
        <w:t xml:space="preserve">Cena podana na Formularzu Ofertowym jest ceną ostateczną, niepodlegającą negocjacji i wyczerpującą wszelkie należności Wykonawcy wobec Zamawiającego związane z realizacją przedmiotu zamówienia. </w:t>
      </w:r>
    </w:p>
    <w:p>
      <w:pPr>
        <w:pStyle w:val="Normal"/>
        <w:widowControl w:val="false"/>
        <w:numPr>
          <w:ilvl w:val="0"/>
          <w:numId w:val="36"/>
        </w:numPr>
        <w:suppressAutoHyphens w:val="true"/>
        <w:spacing w:lineRule="auto" w:line="360"/>
        <w:ind w:left="284" w:hanging="284"/>
        <w:jc w:val="both"/>
        <w:rPr>
          <w:b/>
          <w:b/>
          <w:bCs/>
          <w:szCs w:val="22"/>
        </w:rPr>
      </w:pPr>
      <w:r>
        <w:rPr>
          <w:szCs w:val="22"/>
        </w:rPr>
        <w:t xml:space="preserve">Cena oferty powinna być wyrażona w złotych polskich (PLN) z dokładnością do dwóch miejsc po przecinku. </w:t>
      </w:r>
    </w:p>
    <w:p>
      <w:pPr>
        <w:pStyle w:val="Normal"/>
        <w:widowControl w:val="false"/>
        <w:numPr>
          <w:ilvl w:val="0"/>
          <w:numId w:val="36"/>
        </w:numPr>
        <w:suppressAutoHyphens w:val="true"/>
        <w:spacing w:lineRule="auto" w:line="360"/>
        <w:ind w:left="284" w:hanging="284"/>
        <w:jc w:val="both"/>
        <w:rPr>
          <w:b/>
          <w:b/>
          <w:bCs/>
          <w:szCs w:val="22"/>
        </w:rPr>
      </w:pPr>
      <w:r>
        <w:rPr>
          <w:b/>
          <w:bCs/>
          <w:szCs w:val="22"/>
        </w:rPr>
        <w:t xml:space="preserve">Zamawiający nie przewiduje rozliczeń w walucie obcej. </w:t>
      </w:r>
    </w:p>
    <w:p>
      <w:pPr>
        <w:pStyle w:val="Normal"/>
        <w:widowControl w:val="false"/>
        <w:numPr>
          <w:ilvl w:val="0"/>
          <w:numId w:val="36"/>
        </w:numPr>
        <w:suppressAutoHyphens w:val="true"/>
        <w:spacing w:lineRule="auto" w:line="360"/>
        <w:ind w:left="284" w:hanging="284"/>
        <w:jc w:val="both"/>
        <w:rPr>
          <w:b/>
          <w:b/>
          <w:bCs/>
          <w:szCs w:val="22"/>
        </w:rPr>
      </w:pPr>
      <w:r>
        <w:rPr>
          <w:szCs w:val="22"/>
        </w:rPr>
        <w:t xml:space="preserve">Wyliczona cena oferty brutto będzie służyć do porównania złożonych ofert i do rozliczenia w trakcie realizacji zamówienia. </w:t>
      </w:r>
    </w:p>
    <w:p>
      <w:pPr>
        <w:pStyle w:val="Normal"/>
        <w:widowControl w:val="false"/>
        <w:numPr>
          <w:ilvl w:val="0"/>
          <w:numId w:val="36"/>
        </w:numPr>
        <w:suppressAutoHyphens w:val="true"/>
        <w:spacing w:lineRule="auto" w:line="360"/>
        <w:ind w:left="284" w:hanging="284"/>
        <w:jc w:val="both"/>
        <w:rPr>
          <w:b/>
          <w:b/>
          <w:bCs/>
          <w:szCs w:val="22"/>
        </w:rPr>
      </w:pPr>
      <w:r>
        <w:rPr>
          <w:szCs w:val="22"/>
        </w:rPr>
        <w:t xml:space="preserve">Jeżeli została złożona oferta, której wybór prowadziłby do powstania u zamawiającego obowiązku podatkowego zgodnie z ustawą z dnia 11 marca 2004 r. o podatku od towarów i usług (t.j. Dz. U. z 2021 r. poz. 685 z późn. zm.) dla celów zastosowania kryterium ceny lub kosztu zamawiający dolicza do przedstawionej w tej ofercie ceny kwotę podatku od towarów i usług, którą miałby obowiązek rozliczyć. W ofercie, o której mowa w ust. 1, wykonawca ma obowiązek: </w:t>
      </w:r>
    </w:p>
    <w:p>
      <w:pPr>
        <w:pStyle w:val="Normal"/>
        <w:widowControl w:val="false"/>
        <w:numPr>
          <w:ilvl w:val="0"/>
          <w:numId w:val="37"/>
        </w:numPr>
        <w:suppressAutoHyphens w:val="true"/>
        <w:spacing w:lineRule="auto" w:line="360"/>
        <w:jc w:val="both"/>
        <w:rPr>
          <w:szCs w:val="22"/>
        </w:rPr>
      </w:pPr>
      <w:r>
        <w:rPr>
          <w:szCs w:val="22"/>
        </w:rPr>
        <w:t xml:space="preserve">poinformowania zamawiającego, że wybór jego oferty będzie prowadził do powstania u zamawiającego obowiązku podatkowego; </w:t>
      </w:r>
    </w:p>
    <w:p>
      <w:pPr>
        <w:pStyle w:val="Normal"/>
        <w:widowControl w:val="false"/>
        <w:numPr>
          <w:ilvl w:val="0"/>
          <w:numId w:val="37"/>
        </w:numPr>
        <w:suppressAutoHyphens w:val="true"/>
        <w:spacing w:lineRule="auto" w:line="360"/>
        <w:jc w:val="both"/>
        <w:rPr>
          <w:szCs w:val="22"/>
        </w:rPr>
      </w:pPr>
      <w:r>
        <w:rPr>
          <w:szCs w:val="22"/>
        </w:rPr>
        <w:t xml:space="preserve">wskazania nazwy (rodzaju) towaru lub usługi, których dostawa lub świadczenie będą prowadziły do powstania obowiązku podatkowego; </w:t>
      </w:r>
    </w:p>
    <w:p>
      <w:pPr>
        <w:pStyle w:val="Normal"/>
        <w:widowControl w:val="false"/>
        <w:numPr>
          <w:ilvl w:val="0"/>
          <w:numId w:val="37"/>
        </w:numPr>
        <w:suppressAutoHyphens w:val="true"/>
        <w:spacing w:lineRule="auto" w:line="360"/>
        <w:jc w:val="both"/>
        <w:rPr>
          <w:szCs w:val="22"/>
        </w:rPr>
      </w:pPr>
      <w:r>
        <w:rPr>
          <w:szCs w:val="22"/>
        </w:rPr>
        <w:t xml:space="preserve">wskazania wartości towaru lub usługi objętego obowiązkiem podatkowym zamawiającego, bez kwoty podatku; </w:t>
      </w:r>
    </w:p>
    <w:p>
      <w:pPr>
        <w:pStyle w:val="Normal"/>
        <w:widowControl w:val="false"/>
        <w:numPr>
          <w:ilvl w:val="0"/>
          <w:numId w:val="37"/>
        </w:numPr>
        <w:suppressAutoHyphens w:val="true"/>
        <w:spacing w:lineRule="auto" w:line="360"/>
        <w:jc w:val="both"/>
        <w:rPr>
          <w:szCs w:val="22"/>
        </w:rPr>
      </w:pPr>
      <w:r>
        <w:rPr>
          <w:szCs w:val="22"/>
        </w:rPr>
        <w:t xml:space="preserve">wskazania stawki podatku od towarów i usług, która zgodnie z wiedzą wykonawcy, będzie miała zastosowanie. </w:t>
      </w:r>
    </w:p>
    <w:p>
      <w:pPr>
        <w:pStyle w:val="Normal"/>
        <w:widowControl w:val="false"/>
        <w:numPr>
          <w:ilvl w:val="0"/>
          <w:numId w:val="36"/>
        </w:numPr>
        <w:suppressAutoHyphens w:val="true"/>
        <w:spacing w:lineRule="auto" w:line="360"/>
        <w:ind w:left="284" w:hanging="284"/>
        <w:jc w:val="both"/>
        <w:rPr>
          <w:szCs w:val="22"/>
        </w:rPr>
      </w:pPr>
      <w:r>
        <w:rPr>
          <w:szCs w:val="22"/>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pPr>
        <w:pStyle w:val="Normal"/>
        <w:widowControl w:val="false"/>
        <w:numPr>
          <w:ilvl w:val="0"/>
          <w:numId w:val="51"/>
        </w:numPr>
        <w:suppressAutoHyphens w:val="true"/>
        <w:spacing w:lineRule="auto" w:line="360" w:beforeAutospacing="1" w:after="0"/>
        <w:ind w:left="426" w:hanging="284"/>
        <w:jc w:val="both"/>
        <w:rPr>
          <w:color w:val="000000"/>
          <w:szCs w:val="24"/>
        </w:rPr>
      </w:pPr>
      <w:r>
        <w:rPr>
          <w:b/>
          <w:bCs/>
          <w:color w:val="000000"/>
          <w:szCs w:val="24"/>
        </w:rPr>
        <w:t>OPIS KRYTERIÓW OCENY OFERT, WRAZ Z PODANIEM WAG TYCH KRYTERIÓW I SPOSOBU OCENY OFERT</w:t>
      </w:r>
    </w:p>
    <w:p>
      <w:pPr>
        <w:pStyle w:val="Normal"/>
        <w:widowControl w:val="false"/>
        <w:numPr>
          <w:ilvl w:val="0"/>
          <w:numId w:val="48"/>
        </w:numPr>
        <w:suppressAutoHyphens w:val="true"/>
        <w:spacing w:lineRule="auto" w:line="360"/>
        <w:ind w:left="284" w:hanging="284"/>
        <w:jc w:val="both"/>
        <w:rPr>
          <w:szCs w:val="24"/>
        </w:rPr>
      </w:pPr>
      <w:r>
        <w:rPr>
          <w:szCs w:val="24"/>
        </w:rPr>
        <w:t xml:space="preserve">Przy wyborze najkorzystniejszej oferty Zamawiający będzie się kierował następującymi kryteriami oceny ofert: </w:t>
      </w:r>
    </w:p>
    <w:p>
      <w:pPr>
        <w:pStyle w:val="Normal"/>
        <w:spacing w:lineRule="auto" w:line="360"/>
        <w:ind w:left="720" w:hanging="0"/>
        <w:jc w:val="both"/>
        <w:rPr>
          <w:b/>
          <w:b/>
          <w:szCs w:val="24"/>
          <w:u w:val="single"/>
        </w:rPr>
      </w:pPr>
      <w:r>
        <w:rPr>
          <w:b/>
          <w:szCs w:val="24"/>
          <w:u w:val="single"/>
        </w:rPr>
      </w:r>
    </w:p>
    <w:p>
      <w:pPr>
        <w:pStyle w:val="Normal"/>
        <w:spacing w:lineRule="auto" w:line="360"/>
        <w:ind w:left="720" w:hanging="0"/>
        <w:jc w:val="both"/>
        <w:rPr>
          <w:szCs w:val="24"/>
        </w:rPr>
      </w:pPr>
      <w:r>
        <w:rPr>
          <w:szCs w:val="24"/>
        </w:rPr>
        <w:t>Cena – waga 100 %</w:t>
      </w:r>
    </w:p>
    <w:p>
      <w:pPr>
        <w:pStyle w:val="Normal"/>
        <w:widowControl w:val="false"/>
        <w:numPr>
          <w:ilvl w:val="0"/>
          <w:numId w:val="47"/>
        </w:numPr>
        <w:suppressAutoHyphens w:val="true"/>
        <w:spacing w:lineRule="auto" w:line="360"/>
        <w:jc w:val="both"/>
        <w:rPr>
          <w:szCs w:val="24"/>
        </w:rPr>
      </w:pPr>
      <w:r>
        <w:rPr>
          <w:szCs w:val="24"/>
        </w:rPr>
        <w:t>Obliczenia dokonywane będą z dokładnością do dwóch miejsc po przecinku.</w:t>
      </w:r>
    </w:p>
    <w:p>
      <w:pPr>
        <w:pStyle w:val="Normal"/>
        <w:widowControl w:val="false"/>
        <w:numPr>
          <w:ilvl w:val="0"/>
          <w:numId w:val="47"/>
        </w:numPr>
        <w:suppressAutoHyphens w:val="true"/>
        <w:spacing w:lineRule="auto" w:line="360"/>
        <w:jc w:val="both"/>
        <w:rPr>
          <w:szCs w:val="24"/>
        </w:rPr>
      </w:pPr>
      <w:r>
        <w:rPr>
          <w:szCs w:val="24"/>
        </w:rPr>
        <w:t>Sposób przyznawania (obliczania) punktów:</w:t>
      </w:r>
    </w:p>
    <w:p>
      <w:pPr>
        <w:pStyle w:val="Normal"/>
        <w:spacing w:lineRule="auto" w:line="360"/>
        <w:ind w:left="720" w:hanging="0"/>
        <w:jc w:val="both"/>
        <w:rPr>
          <w:szCs w:val="24"/>
        </w:rPr>
      </w:pPr>
      <w:r>
        <w:rPr>
          <w:b/>
          <w:bCs/>
          <w:szCs w:val="24"/>
          <w:u w:val="single"/>
        </w:rPr>
        <w:t>Cena</w:t>
      </w:r>
    </w:p>
    <w:p>
      <w:pPr>
        <w:pStyle w:val="Normal"/>
        <w:spacing w:lineRule="auto" w:line="360"/>
        <w:ind w:left="1418" w:firstLine="709"/>
        <w:jc w:val="both"/>
        <w:rPr>
          <w:szCs w:val="24"/>
        </w:rPr>
      </w:pPr>
      <w:r>
        <w:rPr>
          <w:b/>
          <w:bCs/>
          <w:szCs w:val="24"/>
        </w:rPr>
        <w:t>C min.</w:t>
      </w:r>
    </w:p>
    <w:p>
      <w:pPr>
        <w:pStyle w:val="Normal"/>
        <w:spacing w:lineRule="auto" w:line="360"/>
        <w:ind w:firstLine="709"/>
        <w:jc w:val="both"/>
        <w:rPr>
          <w:szCs w:val="24"/>
        </w:rPr>
      </w:pPr>
      <w:r>
        <w:rPr>
          <w:b/>
          <w:bCs/>
          <w:szCs w:val="24"/>
        </w:rPr>
        <w:t>C = -----------------------------------</w:t>
      </w:r>
      <w:r>
        <w:rPr>
          <w:szCs w:val="24"/>
        </w:rPr>
        <w:t xml:space="preserve"> </w:t>
      </w:r>
    </w:p>
    <w:p>
      <w:pPr>
        <w:pStyle w:val="Normal"/>
        <w:spacing w:lineRule="auto" w:line="360"/>
        <w:ind w:left="1418" w:firstLine="709"/>
        <w:jc w:val="both"/>
        <w:rPr>
          <w:szCs w:val="24"/>
        </w:rPr>
      </w:pPr>
      <w:r>
        <w:rPr>
          <w:b/>
          <w:bCs/>
          <w:szCs w:val="24"/>
        </w:rPr>
        <w:t>C bad.</w:t>
      </w:r>
    </w:p>
    <w:p>
      <w:pPr>
        <w:pStyle w:val="Normal"/>
        <w:spacing w:lineRule="auto" w:line="360"/>
        <w:ind w:firstLine="709"/>
        <w:jc w:val="both"/>
        <w:rPr>
          <w:szCs w:val="24"/>
        </w:rPr>
      </w:pPr>
      <w:r>
        <w:rPr>
          <w:szCs w:val="24"/>
        </w:rPr>
        <w:t>gdzie:</w:t>
      </w:r>
    </w:p>
    <w:p>
      <w:pPr>
        <w:pStyle w:val="Normal"/>
        <w:spacing w:lineRule="auto" w:line="360"/>
        <w:ind w:left="709" w:hanging="0"/>
        <w:jc w:val="both"/>
        <w:rPr>
          <w:szCs w:val="24"/>
        </w:rPr>
      </w:pPr>
      <w:r>
        <w:rPr>
          <w:szCs w:val="24"/>
        </w:rPr>
        <w:t>C – ilość punktów oferty badanej w kryterium cena</w:t>
      </w:r>
    </w:p>
    <w:p>
      <w:pPr>
        <w:pStyle w:val="Normal"/>
        <w:spacing w:lineRule="auto" w:line="360"/>
        <w:ind w:left="709" w:hanging="0"/>
        <w:jc w:val="both"/>
        <w:rPr>
          <w:szCs w:val="24"/>
        </w:rPr>
      </w:pPr>
      <w:r>
        <w:rPr>
          <w:szCs w:val="24"/>
        </w:rPr>
        <w:t>Maksymalnie w tym kryterium można uzyskać 100 punktów.</w:t>
      </w:r>
    </w:p>
    <w:p>
      <w:pPr>
        <w:pStyle w:val="Normal"/>
        <w:spacing w:lineRule="auto" w:line="360"/>
        <w:ind w:left="709" w:hanging="0"/>
        <w:jc w:val="both"/>
        <w:rPr>
          <w:szCs w:val="24"/>
        </w:rPr>
      </w:pPr>
      <w:r>
        <w:rPr>
          <w:szCs w:val="24"/>
        </w:rPr>
      </w:r>
    </w:p>
    <w:p>
      <w:pPr>
        <w:pStyle w:val="Normal"/>
        <w:numPr>
          <w:ilvl w:val="0"/>
          <w:numId w:val="52"/>
        </w:numPr>
        <w:spacing w:lineRule="auto" w:line="360"/>
        <w:ind w:left="284" w:hanging="360"/>
        <w:jc w:val="both"/>
        <w:rPr>
          <w:rFonts w:eastAsia="Calibri"/>
          <w:szCs w:val="24"/>
          <w:lang w:eastAsia="en-US"/>
        </w:rPr>
      </w:pPr>
      <w:r>
        <w:rPr>
          <w:rFonts w:eastAsia="Calibri"/>
          <w:szCs w:val="24"/>
          <w:lang w:eastAsia="en-US"/>
        </w:rPr>
        <w:t xml:space="preserve">Punktacja przyznawana ofertom w poszczególnych kryteriach oceny ofert będzie liczona z dokładnością do dwóch miejsc po przecinku, zgodnie z zasadami arytmetyki. </w:t>
      </w:r>
    </w:p>
    <w:p>
      <w:pPr>
        <w:pStyle w:val="Normal"/>
        <w:numPr>
          <w:ilvl w:val="0"/>
          <w:numId w:val="52"/>
        </w:numPr>
        <w:spacing w:lineRule="auto" w:line="360"/>
        <w:ind w:left="284" w:hanging="360"/>
        <w:jc w:val="both"/>
        <w:rPr>
          <w:rFonts w:eastAsia="Calibri"/>
          <w:szCs w:val="24"/>
          <w:lang w:eastAsia="en-US"/>
        </w:rPr>
      </w:pPr>
      <w:r>
        <w:rPr>
          <w:rFonts w:eastAsia="Calibri"/>
          <w:szCs w:val="24"/>
          <w:lang w:eastAsia="en-US"/>
        </w:rPr>
        <w:t xml:space="preserve">Za ofertę najkorzystniejszą zostanie uznana oferta, która uzyska najwyższą sumaryczną liczbę punktów. </w:t>
      </w:r>
      <w:r>
        <w:rPr>
          <w:rFonts w:eastAsia="Calibri"/>
          <w:b/>
          <w:bCs/>
          <w:szCs w:val="24"/>
          <w:lang w:eastAsia="en-US"/>
        </w:rPr>
        <w:t xml:space="preserve"> </w:t>
      </w:r>
    </w:p>
    <w:p>
      <w:pPr>
        <w:pStyle w:val="Normal"/>
        <w:numPr>
          <w:ilvl w:val="0"/>
          <w:numId w:val="52"/>
        </w:numPr>
        <w:spacing w:lineRule="auto" w:line="360"/>
        <w:ind w:left="284" w:hanging="360"/>
        <w:jc w:val="both"/>
        <w:rPr>
          <w:rFonts w:eastAsia="Calibri"/>
          <w:szCs w:val="24"/>
          <w:lang w:eastAsia="en-US"/>
        </w:rPr>
      </w:pPr>
      <w:r>
        <w:rPr>
          <w:rFonts w:eastAsia="Calibri"/>
          <w:szCs w:val="24"/>
          <w:lang w:eastAsia="en-US"/>
        </w:rPr>
        <w:t xml:space="preserve">W toku badania i oceny ofert Zamawiający może żądać od Wykonawcy wyjaśnień dotyczących treści złożonej oferty, w tym zaoferowanej ceny. </w:t>
      </w:r>
    </w:p>
    <w:p>
      <w:pPr>
        <w:pStyle w:val="Normal"/>
        <w:numPr>
          <w:ilvl w:val="0"/>
          <w:numId w:val="52"/>
        </w:numPr>
        <w:spacing w:lineRule="auto" w:line="360"/>
        <w:ind w:left="284" w:hanging="360"/>
        <w:jc w:val="both"/>
        <w:rPr>
          <w:rFonts w:eastAsia="Calibri"/>
          <w:szCs w:val="24"/>
          <w:lang w:eastAsia="en-US"/>
        </w:rPr>
      </w:pPr>
      <w:r>
        <w:rPr>
          <w:rFonts w:eastAsia="Calibri"/>
          <w:szCs w:val="24"/>
          <w:lang w:eastAsia="en-US"/>
        </w:rPr>
        <w:t xml:space="preserve">Zamawiający udzieli zamówienia Wykonawcy, którego oferta zostanie uznana za najkorzystniejszą. </w:t>
      </w:r>
    </w:p>
    <w:p>
      <w:pPr>
        <w:pStyle w:val="Normal"/>
        <w:widowControl w:val="false"/>
        <w:numPr>
          <w:ilvl w:val="0"/>
          <w:numId w:val="51"/>
        </w:numPr>
        <w:suppressAutoHyphens w:val="true"/>
        <w:spacing w:lineRule="auto" w:line="360" w:beforeAutospacing="1" w:after="0"/>
        <w:ind w:left="426" w:hanging="284"/>
        <w:jc w:val="both"/>
        <w:rPr>
          <w:szCs w:val="24"/>
        </w:rPr>
      </w:pPr>
      <w:r>
        <w:rPr>
          <w:b/>
          <w:bCs/>
          <w:szCs w:val="24"/>
        </w:rPr>
        <w:t xml:space="preserve">INFORMACJE O FORMALNOŚCIACH, JAKIE POWINNY BYĆ DOPEŁNIONE PO WYBORZE OFERTY W CELU ZAWARCIA UMOWY W SPRAWIE ZAMÓWIENIA  </w:t>
      </w:r>
    </w:p>
    <w:p>
      <w:pPr>
        <w:pStyle w:val="Normal"/>
        <w:widowControl w:val="false"/>
        <w:numPr>
          <w:ilvl w:val="0"/>
          <w:numId w:val="38"/>
        </w:numPr>
        <w:suppressAutoHyphens w:val="true"/>
        <w:spacing w:lineRule="auto" w:line="360"/>
        <w:ind w:left="284" w:hanging="284"/>
        <w:jc w:val="both"/>
        <w:rPr>
          <w:szCs w:val="24"/>
        </w:rPr>
      </w:pPr>
      <w:r>
        <w:rPr>
          <w:szCs w:val="24"/>
        </w:rPr>
        <w:t xml:space="preserve">Zamawiający zawiera umowę w sprawie zamówienia w terminie nie krótszym niż 5 dni od dnia przesłania zawiadomienia o wyborze najkorzystniejszej oferty.  </w:t>
      </w:r>
    </w:p>
    <w:p>
      <w:pPr>
        <w:pStyle w:val="Normal"/>
        <w:widowControl w:val="false"/>
        <w:numPr>
          <w:ilvl w:val="0"/>
          <w:numId w:val="38"/>
        </w:numPr>
        <w:suppressAutoHyphens w:val="true"/>
        <w:spacing w:lineRule="auto" w:line="360"/>
        <w:ind w:left="284" w:hanging="284"/>
        <w:jc w:val="both"/>
        <w:rPr>
          <w:szCs w:val="24"/>
        </w:rPr>
      </w:pPr>
      <w:r>
        <w:rPr>
          <w:szCs w:val="24"/>
        </w:rPr>
        <w:t xml:space="preserve">W przypadku wyboru oferty złożonej przez Wykonawców wspólnie ubiegających się o udzielenie zamówienia Zamawiający zastrzega sobie prawo żądania przed zawarciem umowy w sprawie zamówienia umowy regulującej współpracę tych Wykonawców. </w:t>
      </w:r>
    </w:p>
    <w:p>
      <w:pPr>
        <w:pStyle w:val="Normal"/>
        <w:widowControl w:val="false"/>
        <w:numPr>
          <w:ilvl w:val="0"/>
          <w:numId w:val="38"/>
        </w:numPr>
        <w:suppressAutoHyphens w:val="true"/>
        <w:spacing w:lineRule="auto" w:line="360"/>
        <w:ind w:left="284" w:hanging="284"/>
        <w:jc w:val="both"/>
        <w:rPr>
          <w:szCs w:val="24"/>
        </w:rPr>
      </w:pPr>
      <w:r>
        <w:rPr>
          <w:szCs w:val="24"/>
        </w:rPr>
        <w:t xml:space="preserve">Wykonawca będzie zobowiązany do podpisania umowy w miejscu i terminie wskazanym przez Zamawiającego. </w:t>
      </w:r>
    </w:p>
    <w:p>
      <w:pPr>
        <w:pStyle w:val="Normal"/>
        <w:widowControl w:val="false"/>
        <w:numPr>
          <w:ilvl w:val="0"/>
          <w:numId w:val="51"/>
        </w:numPr>
        <w:tabs>
          <w:tab w:val="clear" w:pos="708"/>
          <w:tab w:val="left" w:pos="284" w:leader="none"/>
        </w:tabs>
        <w:suppressAutoHyphens w:val="true"/>
        <w:spacing w:lineRule="auto" w:line="360" w:beforeAutospacing="1" w:after="0"/>
        <w:ind w:left="426" w:hanging="284"/>
        <w:jc w:val="both"/>
        <w:rPr>
          <w:b/>
          <w:b/>
          <w:bCs/>
          <w:szCs w:val="24"/>
        </w:rPr>
      </w:pPr>
      <w:r>
        <w:rPr>
          <w:b/>
          <w:bCs/>
          <w:szCs w:val="24"/>
        </w:rPr>
        <w:t xml:space="preserve">INFORMACJE O TREŚCI ZAWIERANEJ UMOWY ORAZ MOŻLIWOŚCI JEJ ZMIANY </w:t>
      </w:r>
    </w:p>
    <w:p>
      <w:pPr>
        <w:pStyle w:val="Normal"/>
        <w:widowControl w:val="false"/>
        <w:numPr>
          <w:ilvl w:val="0"/>
          <w:numId w:val="39"/>
        </w:numPr>
        <w:suppressAutoHyphens w:val="true"/>
        <w:spacing w:lineRule="auto" w:line="360"/>
        <w:ind w:left="284" w:hanging="284"/>
        <w:jc w:val="both"/>
        <w:rPr>
          <w:color w:val="000000"/>
          <w:szCs w:val="24"/>
        </w:rPr>
      </w:pPr>
      <w:r>
        <w:rPr>
          <w:szCs w:val="24"/>
        </w:rPr>
        <w:t xml:space="preserve">Wybrany Wykonawca jest zobowiązany do zawarcia umowy w sprawie zamówienia publicznego na warunkach określonych we Wzorze Umowy, </w:t>
      </w:r>
      <w:r>
        <w:rPr>
          <w:color w:val="000000"/>
          <w:szCs w:val="24"/>
        </w:rPr>
        <w:t xml:space="preserve">stanowiącym </w:t>
      </w:r>
      <w:r>
        <w:rPr>
          <w:b/>
          <w:bCs/>
          <w:color w:val="000000"/>
          <w:szCs w:val="24"/>
        </w:rPr>
        <w:t>Załącznik nr 4 do ZO</w:t>
      </w:r>
      <w:r>
        <w:rPr>
          <w:color w:val="000000"/>
          <w:szCs w:val="24"/>
        </w:rPr>
        <w:t xml:space="preserve">. </w:t>
      </w:r>
    </w:p>
    <w:p>
      <w:pPr>
        <w:pStyle w:val="Normal"/>
        <w:widowControl w:val="false"/>
        <w:numPr>
          <w:ilvl w:val="0"/>
          <w:numId w:val="39"/>
        </w:numPr>
        <w:suppressAutoHyphens w:val="true"/>
        <w:spacing w:lineRule="auto" w:line="360"/>
        <w:ind w:left="284" w:hanging="284"/>
        <w:jc w:val="both"/>
        <w:rPr>
          <w:color w:val="000000"/>
          <w:szCs w:val="24"/>
        </w:rPr>
      </w:pPr>
      <w:r>
        <w:rPr>
          <w:szCs w:val="24"/>
        </w:rPr>
        <w:t xml:space="preserve">Zakres świadczenia Wykonawcy wynikający z umowy jest tożsamy z jego zobowiązaniem zawartym w ofercie. </w:t>
      </w:r>
    </w:p>
    <w:p>
      <w:pPr>
        <w:pStyle w:val="Normal"/>
        <w:widowControl w:val="false"/>
        <w:numPr>
          <w:ilvl w:val="0"/>
          <w:numId w:val="39"/>
        </w:numPr>
        <w:suppressAutoHyphens w:val="true"/>
        <w:spacing w:lineRule="auto" w:line="360"/>
        <w:ind w:left="284" w:hanging="284"/>
        <w:jc w:val="both"/>
        <w:rPr>
          <w:color w:val="000000"/>
          <w:szCs w:val="24"/>
        </w:rPr>
      </w:pPr>
      <w:r>
        <w:rPr>
          <w:szCs w:val="24"/>
        </w:rPr>
        <w:t xml:space="preserve">Zamawiający przewiduje możliwość zmiany zawartej umowy w stosunku do treści wybranej oferty w </w:t>
      </w:r>
      <w:r>
        <w:rPr>
          <w:color w:val="000000"/>
          <w:szCs w:val="24"/>
        </w:rPr>
        <w:t xml:space="preserve">zakresie wskazanym we Wzorze Umowy, stanowiącym </w:t>
      </w:r>
      <w:r>
        <w:rPr>
          <w:b/>
          <w:bCs/>
          <w:color w:val="000000"/>
          <w:szCs w:val="24"/>
        </w:rPr>
        <w:t>Załącznik nr 4 do ZO</w:t>
      </w:r>
      <w:r>
        <w:rPr>
          <w:color w:val="000000"/>
          <w:szCs w:val="24"/>
        </w:rPr>
        <w:t>.</w:t>
      </w:r>
      <w:r>
        <w:rPr>
          <w:color w:val="FF0000"/>
          <w:szCs w:val="24"/>
        </w:rPr>
        <w:t xml:space="preserve"> </w:t>
      </w:r>
    </w:p>
    <w:p>
      <w:pPr>
        <w:pStyle w:val="Normal"/>
        <w:widowControl w:val="false"/>
        <w:numPr>
          <w:ilvl w:val="0"/>
          <w:numId w:val="39"/>
        </w:numPr>
        <w:suppressAutoHyphens w:val="true"/>
        <w:spacing w:lineRule="auto" w:line="360"/>
        <w:ind w:left="284" w:hanging="284"/>
        <w:jc w:val="both"/>
        <w:rPr>
          <w:color w:val="000000"/>
          <w:szCs w:val="24"/>
        </w:rPr>
      </w:pPr>
      <w:r>
        <w:rPr>
          <w:szCs w:val="24"/>
        </w:rPr>
        <w:t>Zmiana umowy wymaga dla swej ważności, pod rygorem nieważności, zachowania formy pisemnej.</w:t>
      </w:r>
    </w:p>
    <w:p>
      <w:pPr>
        <w:pStyle w:val="Normal"/>
        <w:widowControl w:val="false"/>
        <w:numPr>
          <w:ilvl w:val="0"/>
          <w:numId w:val="51"/>
        </w:numPr>
        <w:suppressAutoHyphens w:val="true"/>
        <w:spacing w:lineRule="auto" w:line="360" w:beforeAutospacing="1" w:after="0"/>
        <w:jc w:val="both"/>
        <w:rPr>
          <w:szCs w:val="24"/>
        </w:rPr>
      </w:pPr>
      <w:r>
        <w:rPr>
          <w:b/>
          <w:bCs/>
          <w:szCs w:val="24"/>
        </w:rPr>
        <w:t xml:space="preserve">WYKAZ ZAŁĄCZNIKÓW DO ZO </w:t>
      </w:r>
    </w:p>
    <w:p>
      <w:pPr>
        <w:pStyle w:val="Normal"/>
        <w:widowControl w:val="false"/>
        <w:tabs>
          <w:tab w:val="clear" w:pos="708"/>
          <w:tab w:val="left" w:pos="211" w:leader="none"/>
        </w:tabs>
        <w:suppressAutoHyphens w:val="true"/>
        <w:spacing w:lineRule="atLeast" w:line="200"/>
        <w:jc w:val="both"/>
        <w:rPr>
          <w:rFonts w:eastAsia="Lucida Sans Unicode"/>
          <w:kern w:val="2"/>
          <w:szCs w:val="24"/>
          <w:lang w:eastAsia="hi-IN" w:bidi="hi-IN"/>
        </w:rPr>
      </w:pPr>
      <w:r>
        <w:rPr>
          <w:rFonts w:eastAsia="Lucida Sans Unicode"/>
          <w:kern w:val="2"/>
          <w:szCs w:val="24"/>
          <w:lang w:eastAsia="hi-IN" w:bidi="hi-IN"/>
        </w:rPr>
      </w:r>
    </w:p>
    <w:p>
      <w:pPr>
        <w:pStyle w:val="Normal"/>
        <w:widowControl w:val="false"/>
        <w:suppressAutoHyphens w:val="true"/>
        <w:spacing w:lineRule="auto" w:line="360"/>
        <w:rPr>
          <w:rFonts w:eastAsia="Lucida Sans Unicode"/>
          <w:iCs/>
          <w:kern w:val="2"/>
          <w:szCs w:val="24"/>
          <w:lang w:eastAsia="hi-IN" w:bidi="hi-IN"/>
        </w:rPr>
      </w:pPr>
      <w:r>
        <w:rPr>
          <w:rFonts w:eastAsia="Lucida Sans Unicode"/>
          <w:iCs/>
          <w:kern w:val="2"/>
          <w:szCs w:val="24"/>
          <w:lang w:eastAsia="hi-IN" w:bidi="hi-IN"/>
        </w:rPr>
        <w:t>Załącznik nr 1: Formularz ofertowy.</w:t>
      </w:r>
    </w:p>
    <w:p>
      <w:pPr>
        <w:pStyle w:val="Normal"/>
        <w:widowControl w:val="false"/>
        <w:suppressAutoHyphens w:val="true"/>
        <w:spacing w:lineRule="auto" w:line="360"/>
        <w:rPr>
          <w:rFonts w:eastAsia="Lucida Sans Unicode"/>
          <w:kern w:val="2"/>
          <w:szCs w:val="24"/>
          <w:lang w:eastAsia="hi-IN" w:bidi="hi-IN"/>
        </w:rPr>
      </w:pPr>
      <w:r>
        <w:rPr>
          <w:rFonts w:eastAsia="Lucida Sans Unicode"/>
          <w:iCs/>
          <w:kern w:val="2"/>
          <w:szCs w:val="24"/>
          <w:lang w:eastAsia="hi-IN" w:bidi="hi-IN"/>
        </w:rPr>
        <w:t xml:space="preserve">Załącznik nr 1A: Opis przedmiotu zamówienia </w:t>
      </w:r>
    </w:p>
    <w:p>
      <w:pPr>
        <w:pStyle w:val="Normal"/>
        <w:widowControl w:val="false"/>
        <w:numPr>
          <w:ilvl w:val="0"/>
          <w:numId w:val="0"/>
        </w:numPr>
        <w:tabs>
          <w:tab w:val="clear" w:pos="708"/>
          <w:tab w:val="left" w:pos="0" w:leader="none"/>
        </w:tabs>
        <w:suppressAutoHyphens w:val="true"/>
        <w:spacing w:lineRule="auto" w:line="360"/>
        <w:ind w:left="0" w:hanging="0"/>
        <w:outlineLvl w:val="4"/>
        <w:rPr>
          <w:rFonts w:eastAsia="Lucida Sans Unicode"/>
          <w:bCs/>
          <w:iCs/>
          <w:kern w:val="2"/>
          <w:szCs w:val="24"/>
          <w:lang w:eastAsia="hi-IN" w:bidi="hi-IN"/>
        </w:rPr>
      </w:pPr>
      <w:r>
        <w:rPr>
          <w:rFonts w:eastAsia="Lucida Sans Unicode"/>
          <w:iCs/>
          <w:kern w:val="2"/>
          <w:szCs w:val="24"/>
          <w:lang w:eastAsia="hi-IN" w:bidi="hi-IN"/>
        </w:rPr>
        <w:t xml:space="preserve">Załącznik nr 2: Oświadczenie </w:t>
      </w:r>
      <w:r>
        <w:rPr>
          <w:rFonts w:eastAsia="Lucida Sans Unicode"/>
          <w:bCs/>
          <w:iCs/>
          <w:kern w:val="2"/>
          <w:szCs w:val="24"/>
          <w:lang w:eastAsia="hi-IN" w:bidi="hi-IN"/>
        </w:rPr>
        <w:t xml:space="preserve">o braku podstaw do wykluczenia </w:t>
      </w:r>
      <w:r>
        <w:rPr>
          <w:rFonts w:eastAsia="Lucida Sans Unicode"/>
          <w:iCs/>
          <w:kern w:val="2"/>
          <w:szCs w:val="24"/>
          <w:lang w:eastAsia="hi-IN" w:bidi="hi-IN"/>
        </w:rPr>
        <w:t>oraz spełnianiu warunków udziału w postępowaniu</w:t>
      </w:r>
    </w:p>
    <w:p>
      <w:pPr>
        <w:pStyle w:val="Normal"/>
        <w:widowControl w:val="false"/>
        <w:suppressAutoHyphens w:val="true"/>
        <w:spacing w:lineRule="auto" w:line="360"/>
        <w:rPr>
          <w:rFonts w:eastAsia="Lucida Sans Unicode"/>
          <w:bCs/>
          <w:kern w:val="2"/>
          <w:szCs w:val="24"/>
          <w:lang w:eastAsia="hi-IN" w:bidi="hi-IN"/>
        </w:rPr>
      </w:pPr>
      <w:r>
        <w:rPr>
          <w:rFonts w:eastAsia="Lucida Sans Unicode"/>
          <w:kern w:val="2"/>
          <w:szCs w:val="24"/>
          <w:lang w:eastAsia="hi-IN" w:bidi="hi-IN"/>
        </w:rPr>
        <w:t xml:space="preserve">Załącznik nr 3: </w:t>
      </w:r>
      <w:r>
        <w:rPr>
          <w:rFonts w:eastAsia="Lucida Sans Unicode"/>
          <w:bCs/>
          <w:kern w:val="2"/>
          <w:szCs w:val="24"/>
          <w:lang w:eastAsia="hi-IN" w:bidi="hi-IN"/>
        </w:rPr>
        <w:t xml:space="preserve">Oświadczenie o przynależności do grupy kapitałowej </w:t>
      </w:r>
    </w:p>
    <w:p>
      <w:pPr>
        <w:pStyle w:val="Normal"/>
        <w:widowControl w:val="false"/>
        <w:suppressAutoHyphens w:val="true"/>
        <w:spacing w:lineRule="auto" w:line="360"/>
        <w:jc w:val="both"/>
        <w:rPr>
          <w:rFonts w:eastAsia="Lucida Sans Unicode"/>
          <w:bCs/>
          <w:iCs/>
          <w:kern w:val="2"/>
          <w:szCs w:val="24"/>
          <w:lang w:eastAsia="hi-IN" w:bidi="hi-IN"/>
        </w:rPr>
      </w:pPr>
      <w:r>
        <w:rPr>
          <w:rFonts w:eastAsia="Lucida Sans Unicode"/>
          <w:bCs/>
          <w:iCs/>
          <w:kern w:val="2"/>
          <w:szCs w:val="24"/>
          <w:lang w:eastAsia="hi-IN" w:bidi="hi-IN"/>
        </w:rPr>
        <w:t xml:space="preserve">Załącznik nr 4: Istotne postanowienia warunków umowy  </w:t>
      </w:r>
    </w:p>
    <w:p>
      <w:pPr>
        <w:pStyle w:val="Normal"/>
        <w:widowControl w:val="false"/>
        <w:suppressAutoHyphens w:val="true"/>
        <w:spacing w:lineRule="auto" w:line="360"/>
        <w:jc w:val="both"/>
        <w:rPr>
          <w:rFonts w:eastAsia="Lucida Sans Unicode"/>
          <w:bCs/>
          <w:iCs/>
          <w:kern w:val="2"/>
          <w:szCs w:val="24"/>
          <w:lang w:eastAsia="hi-IN" w:bidi="hi-IN"/>
        </w:rPr>
      </w:pPr>
      <w:r>
        <w:rPr>
          <w:rFonts w:eastAsia="Lucida Sans Unicode"/>
          <w:bCs/>
          <w:iCs/>
          <w:kern w:val="2"/>
          <w:szCs w:val="24"/>
          <w:lang w:eastAsia="hi-IN" w:bidi="hi-IN"/>
        </w:rPr>
        <w:t>Załącznik nr 5: Zobowiązanie do udostępnienia zasobów</w:t>
      </w:r>
    </w:p>
    <w:p>
      <w:pPr>
        <w:pStyle w:val="Normal"/>
        <w:widowControl w:val="false"/>
        <w:suppressAutoHyphens w:val="true"/>
        <w:spacing w:lineRule="auto" w:line="360"/>
        <w:jc w:val="both"/>
        <w:rPr>
          <w:rFonts w:eastAsia="Lucida Sans Unicode"/>
          <w:bCs/>
          <w:iCs/>
          <w:kern w:val="2"/>
          <w:szCs w:val="24"/>
          <w:lang w:eastAsia="hi-IN" w:bidi="hi-IN"/>
        </w:rPr>
      </w:pPr>
      <w:r>
        <w:rPr>
          <w:rFonts w:eastAsia="Lucida Sans Unicode"/>
          <w:bCs/>
          <w:iCs/>
          <w:kern w:val="2"/>
          <w:szCs w:val="24"/>
          <w:lang w:eastAsia="hi-IN" w:bidi="hi-IN"/>
        </w:rPr>
        <w:t>Załącznik nr 6: Oświadczenie wykonawcy/wykonawcy wspólnie ubiegającego się o udzielenie zamówienia dotyczące przesłanek wykluczenia z art. art. 7 ust. 1 ustawy o szczególnych rozwiązaniach w zakresie przeciwdziałania wspieraniu agresji na Ukrainę oraz służących ochronie bezpieczeństwa narodowego</w:t>
      </w:r>
    </w:p>
    <w:p>
      <w:pPr>
        <w:pStyle w:val="Normal"/>
        <w:widowControl w:val="false"/>
        <w:suppressAutoHyphens w:val="true"/>
        <w:spacing w:lineRule="auto" w:line="360"/>
        <w:jc w:val="both"/>
        <w:rPr>
          <w:rFonts w:eastAsia="Lucida Sans Unicode"/>
          <w:bCs/>
          <w:iCs/>
          <w:kern w:val="2"/>
          <w:szCs w:val="24"/>
          <w:lang w:eastAsia="hi-IN" w:bidi="hi-IN"/>
        </w:rPr>
      </w:pPr>
      <w:r>
        <w:rPr>
          <w:rFonts w:eastAsia="Lucida Sans Unicode"/>
          <w:bCs/>
          <w:iCs/>
          <w:kern w:val="2"/>
          <w:szCs w:val="24"/>
          <w:lang w:eastAsia="hi-IN" w:bidi="hi-IN"/>
        </w:rPr>
        <w:t xml:space="preserve">Załącznik nr 7: Oświadczenie  Wykonawcy o braku powiązań osobowych lub kapitałowych </w:t>
      </w:r>
    </w:p>
    <w:p>
      <w:pPr>
        <w:pStyle w:val="Normal"/>
        <w:widowControl w:val="false"/>
        <w:suppressAutoHyphens w:val="true"/>
        <w:spacing w:lineRule="auto" w:line="360"/>
        <w:jc w:val="both"/>
        <w:rPr>
          <w:rFonts w:eastAsia="Lucida Sans Unicode"/>
          <w:bCs/>
          <w:iCs/>
          <w:kern w:val="2"/>
          <w:szCs w:val="24"/>
          <w:lang w:eastAsia="hi-IN" w:bidi="hi-IN"/>
        </w:rPr>
      </w:pPr>
      <w:r>
        <w:rPr>
          <w:rFonts w:eastAsia="Lucida Sans Unicode"/>
          <w:bCs/>
          <w:iCs/>
          <w:kern w:val="2"/>
          <w:szCs w:val="24"/>
          <w:lang w:eastAsia="hi-IN" w:bidi="hi-IN"/>
        </w:rPr>
        <w:t>Pomiędzy wykonawcą a zamawiającym</w:t>
      </w:r>
    </w:p>
    <w:p>
      <w:pPr>
        <w:sectPr>
          <w:headerReference w:type="first" r:id="rId3"/>
          <w:footerReference w:type="even" r:id="rId4"/>
          <w:footerReference w:type="default" r:id="rId5"/>
          <w:type w:val="nextPage"/>
          <w:pgSz w:w="11906" w:h="16838"/>
          <w:pgMar w:left="1418" w:right="1418" w:gutter="0" w:header="283" w:top="1559" w:footer="709" w:bottom="1418"/>
          <w:pgNumType w:start="1" w:fmt="decimal"/>
          <w:formProt w:val="false"/>
          <w:titlePg/>
          <w:textDirection w:val="lrTb"/>
          <w:docGrid w:type="default" w:linePitch="360" w:charSpace="0"/>
        </w:sectPr>
      </w:pPr>
    </w:p>
    <w:p>
      <w:pPr>
        <w:pStyle w:val="Normal"/>
        <w:widowControl w:val="false"/>
        <w:suppressAutoHyphens w:val="true"/>
        <w:spacing w:lineRule="auto" w:line="360"/>
        <w:jc w:val="both"/>
        <w:rPr>
          <w:rFonts w:eastAsia="Lucida Sans Unicode"/>
          <w:bCs/>
          <w:iCs/>
          <w:kern w:val="2"/>
          <w:szCs w:val="24"/>
          <w:lang w:eastAsia="hi-IN" w:bidi="hi-IN"/>
        </w:rPr>
      </w:pPr>
      <w:r>
        <w:rPr/>
      </w:r>
    </w:p>
    <w:sectPr>
      <w:type w:val="continuous"/>
      <w:pgSz w:w="11906" w:h="16838"/>
      <w:pgMar w:left="1418" w:right="1418" w:gutter="0" w:header="0" w:top="1559" w:footer="709" w:bottom="1418"/>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ourier New">
    <w:charset w:val="ee"/>
    <w:family w:val="roman"/>
    <w:pitch w:val="variable"/>
  </w:font>
  <w:font w:name="Liberation Sans">
    <w:altName w:val="Arial"/>
    <w:charset w:val="ee"/>
    <w:family w:val="swiss"/>
    <w:pitch w:val="variable"/>
  </w:font>
  <w:font w:name="Univers-PL">
    <w:charset w:val="ee"/>
    <w:family w:val="roman"/>
    <w:pitch w:val="variable"/>
  </w:font>
  <w:font w:name="GAGEIA+TimesNewRoman">
    <w:altName w:val="Bold"/>
    <w:charset w:val="ee"/>
    <w:family w:val="roman"/>
    <w:pitch w:val="variable"/>
  </w:font>
  <w:font w:name="Arial Black">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Ramka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opk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pPr>
    <w:r>
      <w:rPr>
        <w:lang w:val="pl-PL"/>
      </w:rPr>
      <w:t xml:space="preserve">Strona </w:t>
    </w:r>
    <w:r>
      <w:rPr>
        <w:b/>
        <w:bCs/>
        <w:sz w:val="24"/>
        <w:szCs w:val="24"/>
      </w:rPr>
      <w:fldChar w:fldCharType="begin"/>
    </w:r>
    <w:r>
      <w:rPr>
        <w:sz w:val="24"/>
        <w:b/>
        <w:szCs w:val="24"/>
        <w:bCs/>
      </w:rPr>
      <w:instrText> PAGE </w:instrText>
    </w:r>
    <w:r>
      <w:rPr>
        <w:sz w:val="24"/>
        <w:b/>
        <w:szCs w:val="24"/>
        <w:bCs/>
      </w:rPr>
      <w:fldChar w:fldCharType="separate"/>
    </w:r>
    <w:r>
      <w:rPr>
        <w:sz w:val="24"/>
        <w:b/>
        <w:szCs w:val="24"/>
        <w:bCs/>
      </w:rPr>
      <w:t>20</w:t>
    </w:r>
    <w:r>
      <w:rPr>
        <w:sz w:val="24"/>
        <w:b/>
        <w:szCs w:val="24"/>
        <w:bCs/>
      </w:rPr>
      <w:fldChar w:fldCharType="end"/>
    </w:r>
    <w:r>
      <w:rPr>
        <w:lang w:val="pl-PL"/>
      </w:rPr>
      <w:t xml:space="preserve"> z </w:t>
    </w:r>
    <w:r>
      <w:rPr>
        <w:b/>
        <w:bCs/>
        <w:sz w:val="24"/>
        <w:szCs w:val="24"/>
      </w:rPr>
      <w:fldChar w:fldCharType="begin"/>
    </w:r>
    <w:r>
      <w:rPr>
        <w:sz w:val="24"/>
        <w:b/>
        <w:szCs w:val="24"/>
        <w:bCs/>
      </w:rPr>
      <w:instrText> NUMPAGES </w:instrText>
    </w:r>
    <w:r>
      <w:rPr>
        <w:sz w:val="24"/>
        <w:b/>
        <w:szCs w:val="24"/>
        <w:bCs/>
      </w:rPr>
      <w:fldChar w:fldCharType="separate"/>
    </w:r>
    <w:r>
      <w:rPr>
        <w:sz w:val="24"/>
        <w:b/>
        <w:szCs w:val="24"/>
        <w:bCs/>
      </w:rPr>
      <w:t>20</w:t>
    </w:r>
    <w:r>
      <w:rPr>
        <w:sz w:val="24"/>
        <w:b/>
        <w:szCs w:val="24"/>
        <w:bCs/>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lang w:val="pl-PL"/>
      </w:rPr>
      <w:t>`</w:t>
    </w:r>
    <w:r>
      <w:rPr/>
      <w:drawing>
        <wp:inline distT="0" distB="0" distL="0" distR="0">
          <wp:extent cx="5734050" cy="67627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5734050" cy="676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780" w:hanging="360"/>
      </w:pPr>
      <w:rPr>
        <w:b/>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7">
    <w:lvl w:ilvl="0">
      <w:start w:val="10"/>
      <w:numFmt w:val="decimal"/>
      <w:lvlText w:val="%1)"/>
      <w:lvlJc w:val="left"/>
      <w:pPr>
        <w:tabs>
          <w:tab w:val="num" w:pos="0"/>
        </w:tabs>
        <w:ind w:left="78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6"/>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1920" w:hanging="360"/>
      </w:pPr>
      <w:rPr>
        <w:b/>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4">
    <w:lvl w:ilvl="0">
      <w:start w:val="1"/>
      <w:numFmt w:val="decimal"/>
      <w:lvlText w:val="%1)"/>
      <w:lvlJc w:val="left"/>
      <w:pPr>
        <w:tabs>
          <w:tab w:val="num" w:pos="0"/>
        </w:tabs>
        <w:ind w:left="1004" w:hanging="360"/>
      </w:pPr>
      <w:rPr>
        <w:b/>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lvl w:ilvl="0">
      <w:start w:val="8"/>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0">
    <w:lvl w:ilvl="0">
      <w:start w:val="4"/>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lowerLetter"/>
      <w:lvlText w:val="%1)"/>
      <w:lvlJc w:val="left"/>
      <w:pPr>
        <w:tabs>
          <w:tab w:val="num" w:pos="0"/>
        </w:tabs>
        <w:ind w:left="1724" w:hanging="360"/>
      </w:pPr>
      <w:rPr>
        <w:b/>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23">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lvl w:ilvl="0">
      <w:start w:val="6"/>
      <w:numFmt w:val="decimal"/>
      <w:lvlText w:val="%1."/>
      <w:lvlJc w:val="left"/>
      <w:pPr>
        <w:tabs>
          <w:tab w:val="num" w:pos="0"/>
        </w:tabs>
        <w:ind w:left="1724"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0"/>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lvl w:ilvl="0">
      <w:start w:val="1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13"/>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6">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lvl w:ilvl="0">
      <w:start w:val="13"/>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lvl w:ilvl="0">
      <w:start w:val="14"/>
      <w:numFmt w:val="upp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lvl w:ilvl="0">
      <w:start w:val="1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0"/>
      <w:lang w:val="pl-PL" w:eastAsia="pl-PL" w:bidi="ar-SA"/>
    </w:rPr>
  </w:style>
  <w:style w:type="paragraph" w:styleId="Nagwek1">
    <w:name w:val="Heading 1"/>
    <w:basedOn w:val="Normal"/>
    <w:link w:val="Nagwek1Znak"/>
    <w:uiPriority w:val="9"/>
    <w:qFormat/>
    <w:pPr>
      <w:keepNext w:val="true"/>
      <w:jc w:val="center"/>
      <w:outlineLvl w:val="0"/>
    </w:pPr>
    <w:rPr>
      <w:b/>
      <w:sz w:val="32"/>
      <w:lang w:val="x-none"/>
    </w:rPr>
  </w:style>
  <w:style w:type="paragraph" w:styleId="Nagwek2">
    <w:name w:val="Heading 2"/>
    <w:basedOn w:val="Normal"/>
    <w:link w:val="Nagwek2Znak"/>
    <w:uiPriority w:val="9"/>
    <w:qFormat/>
    <w:pPr>
      <w:keepNext w:val="true"/>
      <w:outlineLvl w:val="1"/>
    </w:pPr>
    <w:rPr>
      <w:b/>
      <w:bCs/>
      <w:sz w:val="26"/>
      <w:lang w:val="x-none"/>
    </w:rPr>
  </w:style>
  <w:style w:type="paragraph" w:styleId="Nagwek3">
    <w:name w:val="Heading 3"/>
    <w:basedOn w:val="Normal"/>
    <w:next w:val="Normal"/>
    <w:link w:val="Nagwek3Znak"/>
    <w:uiPriority w:val="9"/>
    <w:qFormat/>
    <w:pPr>
      <w:keepNext w:val="true"/>
      <w:spacing w:before="240" w:after="60"/>
      <w:outlineLvl w:val="2"/>
    </w:pPr>
    <w:rPr>
      <w:rFonts w:ascii="Arial" w:hAnsi="Arial"/>
      <w:b/>
      <w:bCs/>
      <w:sz w:val="26"/>
      <w:szCs w:val="26"/>
      <w:lang w:val="x-none"/>
    </w:rPr>
  </w:style>
  <w:style w:type="paragraph" w:styleId="Nagwek4">
    <w:name w:val="Heading 4"/>
    <w:basedOn w:val="Normal"/>
    <w:next w:val="Normal"/>
    <w:link w:val="Nagwek4Znak"/>
    <w:qFormat/>
    <w:pPr>
      <w:keepNext w:val="true"/>
      <w:spacing w:before="240" w:after="60"/>
      <w:outlineLvl w:val="3"/>
    </w:pPr>
    <w:rPr>
      <w:b/>
      <w:bCs/>
      <w:sz w:val="28"/>
      <w:szCs w:val="28"/>
      <w:lang w:val="x-none"/>
    </w:rPr>
  </w:style>
  <w:style w:type="paragraph" w:styleId="Nagwek5">
    <w:name w:val="Heading 5"/>
    <w:basedOn w:val="Normal"/>
    <w:next w:val="Normal"/>
    <w:link w:val="Nagwek5Znak"/>
    <w:qFormat/>
    <w:pPr>
      <w:spacing w:before="240" w:after="60"/>
      <w:outlineLvl w:val="4"/>
    </w:pPr>
    <w:rPr>
      <w:rFonts w:ascii="Calibri" w:hAnsi="Calibri"/>
      <w:b/>
      <w:bCs/>
      <w:i/>
      <w:iCs/>
      <w:sz w:val="26"/>
      <w:szCs w:val="26"/>
      <w:lang w:val="x-none"/>
    </w:rPr>
  </w:style>
  <w:style w:type="paragraph" w:styleId="Nagwek6">
    <w:name w:val="Heading 6"/>
    <w:basedOn w:val="Normal"/>
    <w:next w:val="Normal"/>
    <w:link w:val="Nagwek6Znak"/>
    <w:qFormat/>
    <w:pPr>
      <w:spacing w:before="240" w:after="60"/>
      <w:outlineLvl w:val="5"/>
    </w:pPr>
    <w:rPr>
      <w:b/>
      <w:bCs/>
      <w:sz w:val="20"/>
      <w:lang w:val="x-none"/>
    </w:rPr>
  </w:style>
  <w:style w:type="paragraph" w:styleId="Nagwek7">
    <w:name w:val="Heading 7"/>
    <w:basedOn w:val="Normal"/>
    <w:next w:val="Normal"/>
    <w:link w:val="Nagwek7Znak"/>
    <w:qFormat/>
    <w:pPr>
      <w:spacing w:before="240" w:after="60"/>
      <w:outlineLvl w:val="6"/>
    </w:pPr>
    <w:rPr>
      <w:rFonts w:ascii="Calibri" w:hAnsi="Calibri"/>
      <w:szCs w:val="24"/>
      <w:lang w:val="x-none"/>
    </w:rPr>
  </w:style>
  <w:style w:type="paragraph" w:styleId="Nagwek8">
    <w:name w:val="Heading 8"/>
    <w:basedOn w:val="Normal"/>
    <w:next w:val="Normal"/>
    <w:link w:val="Nagwek8Znak"/>
    <w:qFormat/>
    <w:pPr>
      <w:spacing w:before="240" w:after="60"/>
      <w:outlineLvl w:val="7"/>
    </w:pPr>
    <w:rPr>
      <w:rFonts w:ascii="Calibri" w:hAnsi="Calibri"/>
      <w:i/>
      <w:iCs/>
      <w:szCs w:val="24"/>
      <w:lang w:val="x-none"/>
    </w:rPr>
  </w:style>
  <w:style w:type="paragraph" w:styleId="Nagwek9">
    <w:name w:val="Heading 9"/>
    <w:basedOn w:val="Normal"/>
    <w:link w:val="Nagwek9Znak"/>
    <w:qFormat/>
    <w:pPr>
      <w:keepNext w:val="true"/>
      <w:jc w:val="right"/>
      <w:outlineLvl w:val="8"/>
    </w:pPr>
    <w:rPr>
      <w:bCs/>
      <w:i/>
      <w:iCs/>
      <w:sz w:val="20"/>
      <w:lang w:val="x-none"/>
    </w:rPr>
  </w:style>
  <w:style w:type="character" w:styleId="DefaultParagraphFont" w:default="1">
    <w:name w:val="Default Paragraph Font"/>
    <w:uiPriority w:val="1"/>
    <w:unhideWhenUsed/>
    <w:qFormat/>
    <w:rPr/>
  </w:style>
  <w:style w:type="character" w:styleId="Nagwek1Znak" w:customStyle="1">
    <w:name w:val="Nagłówek 1 Znak"/>
    <w:link w:val="Nagwek1"/>
    <w:uiPriority w:val="9"/>
    <w:qFormat/>
    <w:rPr>
      <w:rFonts w:ascii="Times New Roman" w:hAnsi="Times New Roman" w:eastAsia="Times New Roman" w:cs="Times New Roman"/>
      <w:b/>
      <w:sz w:val="32"/>
      <w:szCs w:val="20"/>
      <w:lang w:eastAsia="pl-PL"/>
    </w:rPr>
  </w:style>
  <w:style w:type="character" w:styleId="Nagwek2Znak" w:customStyle="1">
    <w:name w:val="Nagłówek 2 Znak"/>
    <w:link w:val="Nagwek2"/>
    <w:uiPriority w:val="9"/>
    <w:qFormat/>
    <w:rPr>
      <w:rFonts w:ascii="Times New Roman" w:hAnsi="Times New Roman" w:eastAsia="Times New Roman" w:cs="Times New Roman"/>
      <w:b/>
      <w:bCs/>
      <w:sz w:val="26"/>
      <w:szCs w:val="20"/>
      <w:lang w:eastAsia="pl-PL"/>
    </w:rPr>
  </w:style>
  <w:style w:type="character" w:styleId="Nagwek3Znak" w:customStyle="1">
    <w:name w:val="Nagłówek 3 Znak"/>
    <w:link w:val="Nagwek3"/>
    <w:uiPriority w:val="9"/>
    <w:qFormat/>
    <w:rPr>
      <w:rFonts w:ascii="Arial" w:hAnsi="Arial" w:eastAsia="Times New Roman" w:cs="Arial"/>
      <w:b/>
      <w:bCs/>
      <w:sz w:val="26"/>
      <w:szCs w:val="26"/>
      <w:lang w:eastAsia="pl-PL"/>
    </w:rPr>
  </w:style>
  <w:style w:type="character" w:styleId="Nagwek4Znak" w:customStyle="1">
    <w:name w:val="Nagłówek 4 Znak"/>
    <w:link w:val="Nagwek4"/>
    <w:qFormat/>
    <w:rPr>
      <w:rFonts w:ascii="Times New Roman" w:hAnsi="Times New Roman" w:eastAsia="Times New Roman" w:cs="Times New Roman"/>
      <w:b/>
      <w:bCs/>
      <w:sz w:val="28"/>
      <w:szCs w:val="28"/>
      <w:lang w:eastAsia="pl-PL"/>
    </w:rPr>
  </w:style>
  <w:style w:type="character" w:styleId="Nagwek5Znak" w:customStyle="1">
    <w:name w:val="Nagłówek 5 Znak"/>
    <w:link w:val="Nagwek5"/>
    <w:qFormat/>
    <w:rPr>
      <w:rFonts w:ascii="Calibri" w:hAnsi="Calibri" w:eastAsia="Times New Roman" w:cs="Times New Roman"/>
      <w:b/>
      <w:bCs/>
      <w:i/>
      <w:iCs/>
      <w:sz w:val="26"/>
      <w:szCs w:val="26"/>
      <w:lang w:eastAsia="pl-PL"/>
    </w:rPr>
  </w:style>
  <w:style w:type="character" w:styleId="Nagwek6Znak" w:customStyle="1">
    <w:name w:val="Nagłówek 6 Znak"/>
    <w:link w:val="Nagwek6"/>
    <w:qFormat/>
    <w:rPr>
      <w:rFonts w:ascii="Times New Roman" w:hAnsi="Times New Roman" w:eastAsia="Times New Roman" w:cs="Times New Roman"/>
      <w:b/>
      <w:bCs/>
      <w:lang w:eastAsia="pl-PL"/>
    </w:rPr>
  </w:style>
  <w:style w:type="character" w:styleId="Nagwek7Znak" w:customStyle="1">
    <w:name w:val="Nagłówek 7 Znak"/>
    <w:link w:val="Nagwek7"/>
    <w:qFormat/>
    <w:rPr>
      <w:rFonts w:ascii="Calibri" w:hAnsi="Calibri" w:eastAsia="Times New Roman" w:cs="Times New Roman"/>
      <w:sz w:val="24"/>
      <w:szCs w:val="24"/>
      <w:lang w:eastAsia="pl-PL"/>
    </w:rPr>
  </w:style>
  <w:style w:type="character" w:styleId="Nagwek8Znak" w:customStyle="1">
    <w:name w:val="Nagłówek 8 Znak"/>
    <w:link w:val="Nagwek8"/>
    <w:qFormat/>
    <w:rPr>
      <w:rFonts w:ascii="Calibri" w:hAnsi="Calibri" w:eastAsia="Times New Roman" w:cs="Times New Roman"/>
      <w:i/>
      <w:iCs/>
      <w:sz w:val="24"/>
      <w:szCs w:val="24"/>
      <w:lang w:eastAsia="pl-PL"/>
    </w:rPr>
  </w:style>
  <w:style w:type="character" w:styleId="Nagwek9Znak" w:customStyle="1">
    <w:name w:val="Nagłówek 9 Znak"/>
    <w:link w:val="Nagwek9"/>
    <w:qFormat/>
    <w:rPr>
      <w:rFonts w:ascii="Times New Roman" w:hAnsi="Times New Roman" w:eastAsia="Times New Roman" w:cs="Times New Roman"/>
      <w:bCs/>
      <w:i/>
      <w:iCs/>
      <w:sz w:val="20"/>
      <w:szCs w:val="20"/>
      <w:lang w:eastAsia="pl-PL"/>
    </w:rPr>
  </w:style>
  <w:style w:type="character" w:styleId="TekstpodstawowyZnak" w:customStyle="1">
    <w:name w:val="Tekst podstawowy Znak"/>
    <w:link w:val="Tekstpodstawowy"/>
    <w:qFormat/>
    <w:rPr>
      <w:rFonts w:ascii="Times New Roman" w:hAnsi="Times New Roman" w:eastAsia="Times New Roman" w:cs="Times New Roman"/>
      <w:b/>
      <w:bCs/>
      <w:sz w:val="24"/>
      <w:szCs w:val="20"/>
      <w:lang w:eastAsia="pl-PL"/>
    </w:rPr>
  </w:style>
  <w:style w:type="character" w:styleId="TekstpodstawowywcityZnak" w:customStyle="1">
    <w:name w:val="Tekst podstawowy wcięty Znak"/>
    <w:link w:val="Tekstpodstawowywcity"/>
    <w:qFormat/>
    <w:rPr>
      <w:rFonts w:ascii="Times New Roman" w:hAnsi="Times New Roman" w:eastAsia="Times New Roman" w:cs="Times New Roman"/>
      <w:sz w:val="24"/>
      <w:szCs w:val="20"/>
      <w:lang w:eastAsia="pl-PL"/>
    </w:rPr>
  </w:style>
  <w:style w:type="character" w:styleId="Tekstpodstawowy2Znak" w:customStyle="1">
    <w:name w:val="Tekst podstawowy 2 Znak"/>
    <w:link w:val="Tekstpodstawowy2"/>
    <w:qFormat/>
    <w:rPr>
      <w:rFonts w:ascii="Times New Roman" w:hAnsi="Times New Roman" w:eastAsia="Times New Roman" w:cs="Times New Roman"/>
      <w:b/>
      <w:bCs/>
      <w:sz w:val="26"/>
      <w:szCs w:val="20"/>
      <w:lang w:eastAsia="pl-PL"/>
    </w:rPr>
  </w:style>
  <w:style w:type="character" w:styleId="Tekstpodstawowy3Znak" w:customStyle="1">
    <w:name w:val="Tekst podstawowy 3 Znak"/>
    <w:link w:val="Tekstpodstawowy3"/>
    <w:qFormat/>
    <w:rPr>
      <w:rFonts w:ascii="Times New Roman" w:hAnsi="Times New Roman" w:eastAsia="Times New Roman" w:cs="Times New Roman"/>
      <w:sz w:val="24"/>
      <w:szCs w:val="20"/>
      <w:lang w:eastAsia="pl-PL"/>
    </w:rPr>
  </w:style>
  <w:style w:type="character" w:styleId="Tekstpodstawowywcity2Znak" w:customStyle="1">
    <w:name w:val="Tekst podstawowy wcięty 2 Znak"/>
    <w:link w:val="Tekstpodstawowywcity2"/>
    <w:qFormat/>
    <w:rPr>
      <w:rFonts w:ascii="Times New Roman" w:hAnsi="Times New Roman" w:eastAsia="Times New Roman" w:cs="Times New Roman"/>
      <w:sz w:val="20"/>
      <w:szCs w:val="20"/>
      <w:lang w:eastAsia="pl-PL"/>
    </w:rPr>
  </w:style>
  <w:style w:type="character" w:styleId="Tekstpodstawowywcity3Znak" w:customStyle="1">
    <w:name w:val="Tekst podstawowy wcięty 3 Znak"/>
    <w:link w:val="Tekstpodstawowywcity3"/>
    <w:qFormat/>
    <w:rPr>
      <w:rFonts w:ascii="Times New Roman" w:hAnsi="Times New Roman" w:eastAsia="Times New Roman" w:cs="Times New Roman"/>
      <w:sz w:val="24"/>
      <w:szCs w:val="20"/>
      <w:lang w:eastAsia="pl-PL"/>
    </w:rPr>
  </w:style>
  <w:style w:type="character" w:styleId="StopkaZnak" w:customStyle="1">
    <w:name w:val="Stopka Znak"/>
    <w:link w:val="Stopka"/>
    <w:uiPriority w:val="99"/>
    <w:qFormat/>
    <w:rPr>
      <w:rFonts w:ascii="Times New Roman" w:hAnsi="Times New Roman" w:eastAsia="Times New Roman" w:cs="Times New Roman"/>
      <w:sz w:val="20"/>
      <w:szCs w:val="20"/>
      <w:lang w:eastAsia="pl-PL"/>
    </w:rPr>
  </w:style>
  <w:style w:type="character" w:styleId="Czeinternetowe">
    <w:name w:val="Łącze internetowe"/>
    <w:uiPriority w:val="99"/>
    <w:rPr>
      <w:color w:val="0000FF"/>
      <w:u w:val="single"/>
    </w:rPr>
  </w:style>
  <w:style w:type="character" w:styleId="Pagenumber">
    <w:name w:val="page number"/>
    <w:basedOn w:val="DefaultParagraphFont"/>
    <w:qFormat/>
    <w:rPr/>
  </w:style>
  <w:style w:type="character" w:styleId="NagwekZnak" w:customStyle="1">
    <w:name w:val="Nagłówek Znak"/>
    <w:link w:val="Nagwek"/>
    <w:uiPriority w:val="99"/>
    <w:qFormat/>
    <w:rPr>
      <w:rFonts w:ascii="Times New Roman" w:hAnsi="Times New Roman" w:eastAsia="Times New Roman" w:cs="Times New Roman"/>
      <w:sz w:val="20"/>
      <w:szCs w:val="20"/>
      <w:lang w:eastAsia="pl-PL"/>
    </w:rPr>
  </w:style>
  <w:style w:type="character" w:styleId="TekstprzypisudolnegoZnak" w:customStyle="1">
    <w:name w:val="Tekst przypisu dolnego Znak"/>
    <w:link w:val="Tekstprzypisudolnego"/>
    <w:uiPriority w:val="99"/>
    <w:qFormat/>
    <w:rPr>
      <w:rFonts w:ascii="Times New Roman" w:hAnsi="Times New Roman" w:eastAsia="Times New Roman" w:cs="Times New Roman"/>
      <w:sz w:val="20"/>
      <w:szCs w:val="20"/>
      <w:lang w:eastAsia="pl-PL"/>
    </w:rPr>
  </w:style>
  <w:style w:type="character" w:styleId="MapadokumentuZnak" w:customStyle="1">
    <w:name w:val="Mapa dokumentu Znak"/>
    <w:link w:val="Mapadokumentu"/>
    <w:semiHidden/>
    <w:qFormat/>
    <w:rPr>
      <w:rFonts w:ascii="Tahoma" w:hAnsi="Tahoma" w:eastAsia="Times New Roman" w:cs="Tahoma"/>
      <w:sz w:val="20"/>
      <w:szCs w:val="20"/>
      <w:shd w:fill="000080" w:val="clear"/>
      <w:lang w:eastAsia="pl-PL"/>
    </w:rPr>
  </w:style>
  <w:style w:type="character" w:styleId="TytuZnak" w:customStyle="1">
    <w:name w:val="Tytuł Znak"/>
    <w:link w:val="Tytu"/>
    <w:qFormat/>
    <w:rPr>
      <w:rFonts w:ascii="Arial" w:hAnsi="Arial" w:eastAsia="Times New Roman" w:cs="Times New Roman"/>
      <w:b/>
      <w:szCs w:val="24"/>
    </w:rPr>
  </w:style>
  <w:style w:type="character" w:styleId="Gltab01danetd1kol1txt" w:customStyle="1">
    <w:name w:val="gl_tab_0_1_dane_td_1_kol_1_txt"/>
    <w:basedOn w:val="DefaultParagraphFont"/>
    <w:qFormat/>
    <w:rPr/>
  </w:style>
  <w:style w:type="character" w:styleId="TekstdymkaZnak" w:customStyle="1">
    <w:name w:val="Tekst dymka Znak"/>
    <w:link w:val="Tekstdymka"/>
    <w:uiPriority w:val="99"/>
    <w:semiHidden/>
    <w:qFormat/>
    <w:rPr>
      <w:rFonts w:ascii="Tahoma" w:hAnsi="Tahoma" w:eastAsia="Times New Roman" w:cs="Tahoma"/>
      <w:sz w:val="16"/>
      <w:szCs w:val="16"/>
      <w:lang w:eastAsia="pl-PL"/>
    </w:rPr>
  </w:style>
  <w:style w:type="character" w:styleId="TekstkomentarzaZnak" w:customStyle="1">
    <w:name w:val="Tekst komentarza Znak"/>
    <w:link w:val="Tekstkomentarza"/>
    <w:qFormat/>
    <w:rPr>
      <w:rFonts w:ascii="Times New Roman" w:hAnsi="Times New Roman" w:eastAsia="Times New Roman" w:cs="Times New Roman"/>
      <w:sz w:val="20"/>
      <w:szCs w:val="20"/>
      <w:lang w:eastAsia="ar-SA"/>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Oznaczenie" w:customStyle="1">
    <w:name w:val="oznaczenie"/>
    <w:basedOn w:val="DefaultParagraphFont"/>
    <w:qFormat/>
    <w:rPr/>
  </w:style>
  <w:style w:type="character" w:styleId="ZwykytekstZnak" w:customStyle="1">
    <w:name w:val="Zwykły tekst Znak"/>
    <w:link w:val="Zwykytekst"/>
    <w:qFormat/>
    <w:rPr>
      <w:rFonts w:ascii="Courier New" w:hAnsi="Courier New" w:eastAsia="Times New Roman" w:cs="Times New Roman"/>
      <w:sz w:val="20"/>
      <w:szCs w:val="20"/>
      <w:lang w:eastAsia="pl-PL"/>
    </w:rPr>
  </w:style>
  <w:style w:type="character" w:styleId="PodtytuZnak" w:customStyle="1">
    <w:name w:val="Podtytuł Znak"/>
    <w:link w:val="Podtytu"/>
    <w:qFormat/>
    <w:rPr>
      <w:rFonts w:ascii="Times New Roman" w:hAnsi="Times New Roman" w:eastAsia="Times New Roman" w:cs="Times New Roman"/>
      <w:b/>
      <w:sz w:val="28"/>
      <w:szCs w:val="20"/>
      <w:lang w:eastAsia="pl-PL"/>
    </w:rPr>
  </w:style>
  <w:style w:type="character" w:styleId="1111111Znak" w:customStyle="1">
    <w:name w:val="1111111 Znak"/>
    <w:link w:val="1111111"/>
    <w:qFormat/>
    <w:rPr>
      <w:rFonts w:ascii="Times New Roman" w:hAnsi="Times New Roman" w:eastAsia="Times New Roman" w:cs="Times New Roman"/>
      <w:sz w:val="24"/>
      <w:szCs w:val="20"/>
      <w:lang w:eastAsia="pl-PL"/>
    </w:rPr>
  </w:style>
  <w:style w:type="character" w:styleId="11111111ustZnak" w:customStyle="1">
    <w:name w:val="11111111 ust Znak"/>
    <w:link w:val="11111111ust"/>
    <w:qFormat/>
    <w:rPr>
      <w:rFonts w:ascii="Times New Roman" w:hAnsi="Times New Roman" w:eastAsia="Times New Roman" w:cs="Times New Roman"/>
      <w:sz w:val="24"/>
      <w:szCs w:val="20"/>
      <w:lang w:eastAsia="pl-PL"/>
    </w:rPr>
  </w:style>
  <w:style w:type="character" w:styleId="Text" w:customStyle="1">
    <w:name w:val="text"/>
    <w:basedOn w:val="DefaultParagraphFont"/>
    <w:qFormat/>
    <w:rPr/>
  </w:style>
  <w:style w:type="character" w:styleId="Price1pinfo" w:customStyle="1">
    <w:name w:val="price_1_pinfo"/>
    <w:qFormat/>
    <w:rPr/>
  </w:style>
  <w:style w:type="character" w:styleId="Price2pinfo" w:customStyle="1">
    <w:name w:val="price_2_pinfo"/>
    <w:qFormat/>
    <w:rPr/>
  </w:style>
  <w:style w:type="character" w:styleId="Mpinfotextprice" w:customStyle="1">
    <w:name w:val="m_pinfo_text_price"/>
    <w:qFormat/>
    <w:rPr/>
  </w:style>
  <w:style w:type="character" w:styleId="Currencypinfo" w:customStyle="1">
    <w:name w:val="currency_pinfo"/>
    <w:qFormat/>
    <w:rPr/>
  </w:style>
  <w:style w:type="character" w:styleId="Strong">
    <w:name w:val="Strong"/>
    <w:uiPriority w:val="22"/>
    <w:qFormat/>
    <w:rPr>
      <w:b/>
      <w:bCs/>
    </w:rPr>
  </w:style>
  <w:style w:type="character" w:styleId="Yes" w:customStyle="1">
    <w:name w:val="yes"/>
    <w:qFormat/>
    <w:rPr/>
  </w:style>
  <w:style w:type="character" w:styleId="No" w:customStyle="1">
    <w:name w:val="no"/>
    <w:qFormat/>
    <w:rPr/>
  </w:style>
  <w:style w:type="character" w:styleId="Wyrnienie">
    <w:name w:val="Wyróżnienie"/>
    <w:uiPriority w:val="20"/>
    <w:qFormat/>
    <w:rPr>
      <w:i/>
      <w:iCs/>
    </w:rPr>
  </w:style>
  <w:style w:type="character" w:styleId="Karta02" w:customStyle="1">
    <w:name w:val="karta02"/>
    <w:qFormat/>
    <w:rPr/>
  </w:style>
  <w:style w:type="character" w:styleId="Karta04" w:customStyle="1">
    <w:name w:val="karta04"/>
    <w:qFormat/>
    <w:rPr/>
  </w:style>
  <w:style w:type="character" w:styleId="TekstprzypisukocowegoZnak" w:customStyle="1">
    <w:name w:val="Tekst przypisu końcowego Znak"/>
    <w:link w:val="Tekstprzypisukocowego"/>
    <w:uiPriority w:val="99"/>
    <w:semiHidden/>
    <w:qFormat/>
    <w:rPr>
      <w:rFonts w:ascii="Times New Roman" w:hAnsi="Times New Roman" w:eastAsia="Times New Roman"/>
    </w:rPr>
  </w:style>
  <w:style w:type="character" w:styleId="Zakotwiczenieprzypisukocowego">
    <w:name w:val="Zakotwiczenie przypisu końcowego"/>
    <w:rPr>
      <w:vertAlign w:val="superscript"/>
    </w:rPr>
  </w:style>
  <w:style w:type="character" w:styleId="EndnoteCharacters">
    <w:name w:val="Endnote Characters"/>
    <w:uiPriority w:val="99"/>
    <w:semiHidden/>
    <w:unhideWhenUsed/>
    <w:qFormat/>
    <w:rPr>
      <w:vertAlign w:val="superscript"/>
    </w:rPr>
  </w:style>
  <w:style w:type="character" w:styleId="Nagwek11" w:customStyle="1">
    <w:name w:val="Nagłówek #1_"/>
    <w:link w:val="Nagwek11"/>
    <w:qFormat/>
    <w:rPr>
      <w:rFonts w:ascii="Times New Roman" w:hAnsi="Times New Roman" w:eastAsia="Times New Roman"/>
      <w:b/>
      <w:bCs/>
      <w:sz w:val="32"/>
      <w:szCs w:val="32"/>
      <w:shd w:fill="FFFFFF" w:val="clear"/>
    </w:rPr>
  </w:style>
  <w:style w:type="character" w:styleId="Teksttreci3" w:customStyle="1">
    <w:name w:val="Tekst treści (3)_"/>
    <w:link w:val="Teksttreci30"/>
    <w:qFormat/>
    <w:rPr>
      <w:rFonts w:ascii="Times New Roman" w:hAnsi="Times New Roman" w:eastAsia="Times New Roman"/>
      <w:b/>
      <w:bCs/>
      <w:sz w:val="28"/>
      <w:szCs w:val="28"/>
      <w:shd w:fill="FFFFFF" w:val="clear"/>
    </w:rPr>
  </w:style>
  <w:style w:type="character" w:styleId="Teksttreci2" w:customStyle="1">
    <w:name w:val="Tekst treści (2)_"/>
    <w:link w:val="Teksttreci20"/>
    <w:qFormat/>
    <w:rPr>
      <w:rFonts w:ascii="Times New Roman" w:hAnsi="Times New Roman" w:eastAsia="Times New Roman"/>
      <w:shd w:fill="FFFFFF" w:val="clear"/>
    </w:rPr>
  </w:style>
  <w:style w:type="character" w:styleId="Nagwek21" w:customStyle="1">
    <w:name w:val="Nagłówek #2_"/>
    <w:link w:val="Nagwek22"/>
    <w:qFormat/>
    <w:rPr>
      <w:rFonts w:ascii="Times New Roman" w:hAnsi="Times New Roman" w:eastAsia="Times New Roman"/>
      <w:b/>
      <w:bCs/>
      <w:i/>
      <w:iCs/>
      <w:shd w:fill="FFFFFF" w:val="clear"/>
    </w:rPr>
  </w:style>
  <w:style w:type="character" w:styleId="Teksttreci4" w:customStyle="1">
    <w:name w:val="Tekst treści (4)_"/>
    <w:link w:val="Teksttreci40"/>
    <w:qFormat/>
    <w:rPr>
      <w:rFonts w:ascii="Times New Roman" w:hAnsi="Times New Roman" w:eastAsia="Times New Roman"/>
      <w:b/>
      <w:bCs/>
      <w:shd w:fill="FFFFFF" w:val="clear"/>
    </w:rPr>
  </w:style>
  <w:style w:type="character" w:styleId="Teksttreci4Bezpogrubienia" w:customStyle="1">
    <w:name w:val="Tekst treści (4) + Bez pogrubienia"/>
    <w:qFormat/>
    <w:rPr>
      <w:rFonts w:ascii="Times New Roman" w:hAnsi="Times New Roman" w:eastAsia="Times New Roman"/>
      <w:b/>
      <w:bCs/>
      <w:color w:val="000000"/>
      <w:spacing w:val="0"/>
      <w:w w:val="100"/>
      <w:sz w:val="24"/>
      <w:szCs w:val="24"/>
      <w:shd w:fill="FFFFFF" w:val="clear"/>
      <w:lang w:val="pl-PL" w:eastAsia="pl-PL" w:bidi="pl-PL"/>
    </w:rPr>
  </w:style>
  <w:style w:type="character" w:styleId="Teksttreci2Pogrubienie" w:customStyle="1">
    <w:name w:val="Tekst treści (2) + Pogrubienie"/>
    <w:qFormat/>
    <w:rPr>
      <w:rFonts w:ascii="Times New Roman" w:hAnsi="Times New Roman" w:eastAsia="Times New Roman" w:cs="Times New Roman"/>
      <w:b/>
      <w:bCs/>
      <w:color w:val="000000"/>
      <w:spacing w:val="0"/>
      <w:w w:val="100"/>
      <w:sz w:val="24"/>
      <w:szCs w:val="24"/>
      <w:shd w:fill="FFFFFF" w:val="clear"/>
      <w:lang w:val="pl-PL" w:eastAsia="pl-PL" w:bidi="pl-PL"/>
    </w:rPr>
  </w:style>
  <w:style w:type="character" w:styleId="Teksttreci2Kursywa" w:customStyle="1">
    <w:name w:val="Tekst treści (2) + Kursywa"/>
    <w:qFormat/>
    <w:rPr>
      <w:rFonts w:ascii="Times New Roman" w:hAnsi="Times New Roman" w:eastAsia="Times New Roman" w:cs="Times New Roman"/>
      <w:b w:val="false"/>
      <w:bCs w:val="false"/>
      <w:i/>
      <w:iCs/>
      <w:caps w:val="false"/>
      <w:smallCaps w:val="false"/>
      <w:strike w:val="false"/>
      <w:dstrike w:val="false"/>
      <w:color w:val="000000"/>
      <w:spacing w:val="0"/>
      <w:w w:val="100"/>
      <w:sz w:val="24"/>
      <w:szCs w:val="24"/>
      <w:u w:val="single"/>
      <w:shd w:fill="FFFFFF" w:val="clear"/>
      <w:lang w:val="pl-PL" w:eastAsia="pl-PL" w:bidi="pl-PL"/>
    </w:rPr>
  </w:style>
  <w:style w:type="character" w:styleId="Teksttreci5" w:customStyle="1">
    <w:name w:val="Tekst treści (5)_"/>
    <w:link w:val="Teksttreci50"/>
    <w:qFormat/>
    <w:rPr>
      <w:rFonts w:ascii="Times New Roman" w:hAnsi="Times New Roman" w:eastAsia="Times New Roman"/>
      <w:i/>
      <w:iCs/>
      <w:shd w:fill="FFFFFF" w:val="clear"/>
    </w:rPr>
  </w:style>
  <w:style w:type="character" w:styleId="Teksttreci5Bezkursywy" w:customStyle="1">
    <w:name w:val="Tekst treści (5) + Bez kursywy"/>
    <w:qFormat/>
    <w:rPr>
      <w:rFonts w:ascii="Times New Roman" w:hAnsi="Times New Roman" w:eastAsia="Times New Roman"/>
      <w:i/>
      <w:iCs/>
      <w:color w:val="000000"/>
      <w:spacing w:val="0"/>
      <w:w w:val="100"/>
      <w:sz w:val="24"/>
      <w:szCs w:val="24"/>
      <w:shd w:fill="FFFFFF" w:val="clear"/>
      <w:lang w:val="pl-PL" w:eastAsia="pl-PL" w:bidi="pl-PL"/>
    </w:rPr>
  </w:style>
  <w:style w:type="character" w:styleId="Alb" w:customStyle="1">
    <w:name w:val="a_lb"/>
    <w:basedOn w:val="DefaultParagraphFont"/>
    <w:qFormat/>
    <w:rPr/>
  </w:style>
  <w:style w:type="character" w:styleId="Markedcontent" w:customStyle="1">
    <w:name w:val="markedcontent"/>
    <w:qFormat/>
    <w:rPr/>
  </w:style>
  <w:style w:type="character" w:styleId="UnresolvedMention">
    <w:name w:val="Unresolved Mention"/>
    <w:uiPriority w:val="99"/>
    <w:semiHidden/>
    <w:unhideWhenUsed/>
    <w:qFormat/>
    <w:rsid w:val="00543557"/>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pPr/>
    <w:rPr>
      <w:b/>
      <w:bCs/>
      <w:lang w:val="x-none"/>
    </w:rPr>
  </w:style>
  <w:style w:type="paragraph" w:styleId="Lista">
    <w:name w:val="List"/>
    <w:basedOn w:val="Normal"/>
    <w:pPr>
      <w:ind w:left="283" w:hanging="283"/>
    </w:pPr>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Wcicietrecitekstu">
    <w:name w:val="Body Text Indent"/>
    <w:basedOn w:val="Normal"/>
    <w:link w:val="TekstpodstawowywcityZnak"/>
    <w:pPr>
      <w:snapToGrid w:val="false"/>
      <w:spacing w:lineRule="auto" w:line="360"/>
      <w:ind w:firstLine="567"/>
    </w:pPr>
    <w:rPr>
      <w:lang w:val="x-none"/>
    </w:rPr>
  </w:style>
  <w:style w:type="paragraph" w:styleId="BodyText2">
    <w:name w:val="Body Text 2"/>
    <w:basedOn w:val="Normal"/>
    <w:link w:val="Tekstpodstawowy2Znak"/>
    <w:qFormat/>
    <w:pPr/>
    <w:rPr>
      <w:b/>
      <w:bCs/>
      <w:sz w:val="26"/>
      <w:lang w:val="x-none"/>
    </w:rPr>
  </w:style>
  <w:style w:type="paragraph" w:styleId="BodyText3">
    <w:name w:val="Body Text 3"/>
    <w:basedOn w:val="Normal"/>
    <w:link w:val="Tekstpodstawowy3Znak"/>
    <w:qFormat/>
    <w:pPr/>
    <w:rPr>
      <w:lang w:val="x-none"/>
    </w:rPr>
  </w:style>
  <w:style w:type="paragraph" w:styleId="BodyTextIndent2">
    <w:name w:val="Body Text Indent 2"/>
    <w:basedOn w:val="Normal"/>
    <w:link w:val="Tekstpodstawowywcity2Znak"/>
    <w:qFormat/>
    <w:pPr>
      <w:tabs>
        <w:tab w:val="clear" w:pos="708"/>
        <w:tab w:val="left" w:pos="1276" w:leader="none"/>
        <w:tab w:val="left" w:pos="3240" w:leader="none"/>
      </w:tabs>
      <w:ind w:left="1276" w:hanging="271"/>
      <w:jc w:val="both"/>
    </w:pPr>
    <w:rPr>
      <w:sz w:val="20"/>
      <w:lang w:val="x-none"/>
    </w:rPr>
  </w:style>
  <w:style w:type="paragraph" w:styleId="BodyTextIndent3">
    <w:name w:val="Body Text Indent 3"/>
    <w:basedOn w:val="Normal"/>
    <w:link w:val="Tekstpodstawowywcity3Znak"/>
    <w:qFormat/>
    <w:pPr>
      <w:ind w:left="426" w:hanging="426"/>
      <w:jc w:val="both"/>
    </w:pPr>
    <w:rPr>
      <w:lang w:val="x-none"/>
    </w:rPr>
  </w:style>
  <w:style w:type="paragraph" w:styleId="Gwkaistopka">
    <w:name w:val="Główka i stopka"/>
    <w:basedOn w:val="Normal"/>
    <w:qFormat/>
    <w:pPr/>
    <w:rPr/>
  </w:style>
  <w:style w:type="paragraph" w:styleId="Stopka">
    <w:name w:val="Footer"/>
    <w:basedOn w:val="Normal"/>
    <w:link w:val="StopkaZnak"/>
    <w:uiPriority w:val="99"/>
    <w:pPr>
      <w:tabs>
        <w:tab w:val="clear" w:pos="708"/>
        <w:tab w:val="center" w:pos="4536" w:leader="none"/>
        <w:tab w:val="right" w:pos="9072" w:leader="none"/>
      </w:tabs>
    </w:pPr>
    <w:rPr>
      <w:sz w:val="20"/>
      <w:lang w:val="x-none"/>
    </w:rPr>
  </w:style>
  <w:style w:type="paragraph" w:styleId="BlockText">
    <w:name w:val="Block Text"/>
    <w:basedOn w:val="Normal"/>
    <w:qFormat/>
    <w:pPr>
      <w:spacing w:before="120" w:after="120"/>
      <w:ind w:left="426" w:right="57" w:hanging="426"/>
      <w:jc w:val="both"/>
    </w:pPr>
    <w:rPr/>
  </w:style>
  <w:style w:type="paragraph" w:styleId="Pkt" w:customStyle="1">
    <w:name w:val="pkt"/>
    <w:basedOn w:val="Normal"/>
    <w:qFormat/>
    <w:pPr>
      <w:spacing w:lineRule="auto" w:line="360" w:before="60" w:after="60"/>
      <w:ind w:left="851" w:hanging="295"/>
      <w:jc w:val="both"/>
    </w:pPr>
    <w:rPr>
      <w:rFonts w:ascii="Univers-PL" w:hAnsi="Univers-PL"/>
      <w:sz w:val="19"/>
      <w:szCs w:val="19"/>
    </w:rPr>
  </w:style>
  <w:style w:type="paragraph" w:styleId="1" w:customStyle="1">
    <w:name w:val="1"/>
    <w:qFormat/>
    <w:pPr>
      <w:widowControl w:val="false"/>
      <w:tabs>
        <w:tab w:val="clear" w:pos="708"/>
        <w:tab w:val="left" w:pos="340" w:leader="none"/>
        <w:tab w:val="left" w:pos="680" w:leader="none"/>
        <w:tab w:val="left" w:pos="1020" w:leader="none"/>
        <w:tab w:val="left" w:pos="1361" w:leader="none"/>
        <w:tab w:val="left" w:pos="1701" w:leader="none"/>
        <w:tab w:val="left" w:pos="2041" w:leader="none"/>
        <w:tab w:val="left" w:pos="2381" w:leader="none"/>
        <w:tab w:val="left" w:pos="2721" w:leader="none"/>
        <w:tab w:val="left" w:pos="3061" w:leader="none"/>
        <w:tab w:val="left" w:pos="3402" w:leader="none"/>
        <w:tab w:val="left" w:pos="3742" w:leader="none"/>
        <w:tab w:val="left" w:pos="4082" w:leader="none"/>
        <w:tab w:val="left" w:pos="4422" w:leader="none"/>
        <w:tab w:val="left" w:pos="4762" w:leader="none"/>
        <w:tab w:val="left" w:pos="5102" w:leader="none"/>
        <w:tab w:val="left" w:pos="5443" w:leader="none"/>
      </w:tabs>
      <w:bidi w:val="0"/>
      <w:spacing w:lineRule="atLeast" w:line="240" w:before="60" w:after="0"/>
      <w:ind w:left="340" w:hanging="340"/>
      <w:jc w:val="both"/>
    </w:pPr>
    <w:rPr>
      <w:rFonts w:ascii="Univers-PL" w:hAnsi="Univers-PL" w:eastAsia="Times New Roman" w:cs="Times New Roman"/>
      <w:color w:val="auto"/>
      <w:kern w:val="0"/>
      <w:sz w:val="19"/>
      <w:szCs w:val="20"/>
      <w:lang w:val="pl-PL" w:eastAsia="pl-PL" w:bidi="ar-SA"/>
    </w:rPr>
  </w:style>
  <w:style w:type="paragraph" w:styleId="Spistreci3">
    <w:name w:val="TOC 3"/>
    <w:basedOn w:val="Normal"/>
    <w:next w:val="Normal"/>
    <w:autoRedefine/>
    <w:pPr>
      <w:spacing w:lineRule="auto" w:line="360"/>
      <w:ind w:right="-108" w:hanging="0"/>
      <w:jc w:val="both"/>
    </w:pPr>
    <w:rPr>
      <w:bCs/>
      <w:szCs w:val="24"/>
      <w:lang w:eastAsia="en-US"/>
    </w:rPr>
  </w:style>
  <w:style w:type="paragraph" w:styleId="Nagwek22" w:customStyle="1">
    <w:name w:val="Nag?—wek 2"/>
    <w:basedOn w:val="Normal"/>
    <w:next w:val="Normal"/>
    <w:qFormat/>
    <w:pPr>
      <w:keepNext w:val="true"/>
      <w:overflowPunct w:val="true"/>
      <w:jc w:val="right"/>
      <w:textAlignment w:val="baseline"/>
    </w:pPr>
    <w:rPr>
      <w:b/>
      <w:lang w:val="en-US" w:eastAsia="en-US"/>
    </w:rPr>
  </w:style>
  <w:style w:type="paragraph" w:styleId="Tekstpodstawowy31" w:customStyle="1">
    <w:name w:val="Tekst podstawowy 31"/>
    <w:basedOn w:val="Normal"/>
    <w:qFormat/>
    <w:pPr>
      <w:overflowPunct w:val="true"/>
      <w:spacing w:lineRule="auto" w:line="360"/>
      <w:jc w:val="both"/>
      <w:textAlignment w:val="baseline"/>
    </w:pPr>
    <w:rPr>
      <w:rFonts w:ascii="Arial" w:hAnsi="Arial"/>
      <w:lang w:val="en-US" w:eastAsia="en-US"/>
    </w:rPr>
  </w:style>
  <w:style w:type="paragraph" w:styleId="ListBullet">
    <w:name w:val="List Bullet"/>
    <w:basedOn w:val="Normal"/>
    <w:autoRedefine/>
    <w:qFormat/>
    <w:pPr>
      <w:spacing w:lineRule="auto" w:line="360"/>
      <w:ind w:right="23" w:hanging="0"/>
      <w:jc w:val="both"/>
    </w:pPr>
    <w:rPr>
      <w:bCs/>
      <w:szCs w:val="24"/>
    </w:rPr>
  </w:style>
  <w:style w:type="paragraph" w:styleId="Nagwek51" w:customStyle="1">
    <w:name w:val="Nag?—wek 5"/>
    <w:basedOn w:val="Normal"/>
    <w:next w:val="Normal"/>
    <w:qFormat/>
    <w:pPr>
      <w:keepNext w:val="true"/>
      <w:overflowPunct w:val="true"/>
      <w:ind w:left="109" w:hanging="0"/>
      <w:jc w:val="center"/>
      <w:textAlignment w:val="baseline"/>
    </w:pPr>
    <w:rPr>
      <w:rFonts w:ascii="Arial" w:hAnsi="Arial"/>
      <w:b/>
      <w:lang w:val="en-US" w:eastAsia="en-US"/>
    </w:rPr>
  </w:style>
  <w:style w:type="paragraph" w:styleId="Nagwek61" w:customStyle="1">
    <w:name w:val="Nag?—wek 6"/>
    <w:basedOn w:val="Normal"/>
    <w:next w:val="Normal"/>
    <w:qFormat/>
    <w:pPr>
      <w:keepNext w:val="true"/>
      <w:overflowPunct w:val="true"/>
      <w:jc w:val="center"/>
      <w:textAlignment w:val="baseline"/>
    </w:pPr>
    <w:rPr>
      <w:rFonts w:ascii="Arial" w:hAnsi="Arial"/>
      <w:b/>
      <w:sz w:val="22"/>
      <w:lang w:val="en-US" w:eastAsia="en-US"/>
    </w:rPr>
  </w:style>
  <w:style w:type="paragraph" w:styleId="CM136" w:customStyle="1">
    <w:name w:val="CM136"/>
    <w:basedOn w:val="Normal"/>
    <w:next w:val="Normal"/>
    <w:qFormat/>
    <w:pPr>
      <w:widowControl w:val="false"/>
      <w:spacing w:before="0" w:after="140"/>
    </w:pPr>
    <w:rPr>
      <w:rFonts w:ascii="GAGEIA+TimesNewRoman,Bold" w:hAnsi="GAGEIA+TimesNewRoman,Bold"/>
      <w:szCs w:val="24"/>
    </w:rPr>
  </w:style>
  <w:style w:type="paragraph" w:styleId="CM141" w:customStyle="1">
    <w:name w:val="CM141"/>
    <w:basedOn w:val="Normal"/>
    <w:next w:val="Normal"/>
    <w:qFormat/>
    <w:pPr>
      <w:widowControl w:val="false"/>
      <w:spacing w:before="0" w:after="683"/>
    </w:pPr>
    <w:rPr>
      <w:rFonts w:ascii="GAGEIA+TimesNewRoman,Bold" w:hAnsi="GAGEIA+TimesNewRoman,Bold"/>
      <w:szCs w:val="24"/>
    </w:rPr>
  </w:style>
  <w:style w:type="paragraph" w:styleId="ListNumber">
    <w:name w:val="List Number"/>
    <w:basedOn w:val="Normal"/>
    <w:qFormat/>
    <w:pPr>
      <w:numPr>
        <w:ilvl w:val="0"/>
        <w:numId w:val="1"/>
      </w:numPr>
      <w:suppressAutoHyphens w:val="true"/>
    </w:pPr>
    <w:rPr>
      <w:szCs w:val="24"/>
      <w:lang w:eastAsia="ar-SA"/>
    </w:rPr>
  </w:style>
  <w:style w:type="paragraph" w:styleId="Gwka">
    <w:name w:val="Header"/>
    <w:basedOn w:val="Normal"/>
    <w:link w:val="NagwekZnak"/>
    <w:uiPriority w:val="99"/>
    <w:pPr>
      <w:tabs>
        <w:tab w:val="clear" w:pos="708"/>
        <w:tab w:val="center" w:pos="4536" w:leader="none"/>
        <w:tab w:val="right" w:pos="9072" w:leader="none"/>
      </w:tabs>
    </w:pPr>
    <w:rPr>
      <w:sz w:val="20"/>
      <w:lang w:val="x-none"/>
    </w:rPr>
  </w:style>
  <w:style w:type="paragraph" w:styleId="Spistreci2">
    <w:name w:val="TOC 2"/>
    <w:basedOn w:val="Normal"/>
    <w:next w:val="Normal"/>
    <w:autoRedefine/>
    <w:pPr>
      <w:ind w:left="200" w:hanging="0"/>
    </w:pPr>
    <w:rPr/>
  </w:style>
  <w:style w:type="paragraph" w:styleId="Spistreci1">
    <w:name w:val="TOC 1"/>
    <w:basedOn w:val="Normal"/>
    <w:next w:val="Normal"/>
    <w:autoRedefine/>
    <w:pPr>
      <w:tabs>
        <w:tab w:val="clear" w:pos="708"/>
        <w:tab w:val="left" w:pos="2268" w:leader="none"/>
        <w:tab w:val="right" w:pos="9062" w:leader="dot"/>
      </w:tabs>
      <w:spacing w:lineRule="auto" w:line="276"/>
      <w:ind w:left="2268" w:hanging="2268"/>
    </w:pPr>
    <w:rPr>
      <w:b/>
      <w:i/>
      <w:sz w:val="28"/>
    </w:rPr>
  </w:style>
  <w:style w:type="paragraph" w:styleId="BodyText21" w:customStyle="1">
    <w:name w:val="Body Text 21"/>
    <w:basedOn w:val="Normal"/>
    <w:qFormat/>
    <w:pPr>
      <w:tabs>
        <w:tab w:val="clear" w:pos="708"/>
        <w:tab w:val="left" w:pos="0" w:leader="none"/>
      </w:tabs>
      <w:jc w:val="both"/>
    </w:pPr>
    <w:rPr/>
  </w:style>
  <w:style w:type="paragraph" w:styleId="Nagwek41" w:customStyle="1">
    <w:name w:val="Nag?—wek 4"/>
    <w:basedOn w:val="Normal"/>
    <w:next w:val="Normal"/>
    <w:qFormat/>
    <w:pPr>
      <w:keepNext w:val="true"/>
      <w:overflowPunct w:val="true"/>
      <w:ind w:left="-37" w:right="109" w:hanging="0"/>
      <w:jc w:val="center"/>
      <w:textAlignment w:val="baseline"/>
    </w:pPr>
    <w:rPr>
      <w:rFonts w:ascii="Arial" w:hAnsi="Arial"/>
      <w:b/>
      <w:lang w:val="en-US" w:eastAsia="en-US"/>
    </w:rPr>
  </w:style>
  <w:style w:type="paragraph" w:styleId="Przypisdolny">
    <w:name w:val="Footnote Text"/>
    <w:basedOn w:val="Normal"/>
    <w:link w:val="TekstprzypisudolnegoZnak"/>
    <w:uiPriority w:val="99"/>
    <w:pPr/>
    <w:rPr>
      <w:sz w:val="20"/>
      <w:lang w:val="x-none"/>
    </w:rPr>
  </w:style>
  <w:style w:type="paragraph" w:styleId="DocumentMap">
    <w:name w:val="Document Map"/>
    <w:basedOn w:val="Normal"/>
    <w:link w:val="MapadokumentuZnak"/>
    <w:semiHidden/>
    <w:qFormat/>
    <w:pPr>
      <w:shd w:val="clear" w:color="auto" w:fill="000080"/>
    </w:pPr>
    <w:rPr>
      <w:rFonts w:ascii="Tahoma" w:hAnsi="Tahoma"/>
      <w:sz w:val="20"/>
      <w:lang w:val="x-none"/>
    </w:rPr>
  </w:style>
  <w:style w:type="paragraph" w:styleId="Tytu">
    <w:name w:val="Title"/>
    <w:basedOn w:val="Normal"/>
    <w:link w:val="TytuZnak"/>
    <w:qFormat/>
    <w:pPr>
      <w:jc w:val="center"/>
    </w:pPr>
    <w:rPr>
      <w:rFonts w:ascii="Arial" w:hAnsi="Arial"/>
      <w:b/>
      <w:sz w:val="20"/>
      <w:szCs w:val="24"/>
      <w:lang w:val="x-none" w:eastAsia="x-none"/>
    </w:rPr>
  </w:style>
  <w:style w:type="paragraph" w:styleId="Paragraf" w:customStyle="1">
    <w:name w:val="Paragraf"/>
    <w:basedOn w:val="Normal"/>
    <w:qFormat/>
    <w:pPr>
      <w:spacing w:before="480" w:after="240"/>
      <w:jc w:val="both"/>
    </w:pPr>
    <w:rPr>
      <w:b/>
      <w:spacing w:val="30"/>
      <w:sz w:val="28"/>
      <w:u w:val="single"/>
      <w:lang w:eastAsia="en-US"/>
    </w:rPr>
  </w:style>
  <w:style w:type="paragraph" w:styleId="BalloonText">
    <w:name w:val="Balloon Text"/>
    <w:basedOn w:val="Normal"/>
    <w:link w:val="TekstdymkaZnak"/>
    <w:uiPriority w:val="99"/>
    <w:semiHidden/>
    <w:qFormat/>
    <w:pPr/>
    <w:rPr>
      <w:rFonts w:ascii="Tahoma" w:hAnsi="Tahoma"/>
      <w:sz w:val="16"/>
      <w:szCs w:val="16"/>
      <w:lang w:val="x-none"/>
    </w:rPr>
  </w:style>
  <w:style w:type="paragraph" w:styleId="Nagwekbazowy" w:customStyle="1">
    <w:name w:val="Nagłówek - bazowy"/>
    <w:basedOn w:val="Normal"/>
    <w:next w:val="Tretekstu"/>
    <w:qFormat/>
    <w:pPr>
      <w:keepNext w:val="true"/>
      <w:keepLines/>
      <w:suppressAutoHyphens w:val="true"/>
      <w:spacing w:lineRule="atLeast" w:line="220"/>
      <w:jc w:val="both"/>
    </w:pPr>
    <w:rPr>
      <w:rFonts w:ascii="Arial Black" w:hAnsi="Arial Black"/>
      <w:spacing w:val="-10"/>
      <w:kern w:val="2"/>
      <w:lang w:eastAsia="ar-SA"/>
    </w:rPr>
  </w:style>
  <w:style w:type="paragraph" w:styleId="Tekstpodstawowy21" w:customStyle="1">
    <w:name w:val="Tekst podstawowy 21"/>
    <w:basedOn w:val="Normal"/>
    <w:qFormat/>
    <w:pPr>
      <w:suppressAutoHyphens w:val="true"/>
      <w:overflowPunct w:val="true"/>
      <w:jc w:val="both"/>
      <w:textAlignment w:val="baseline"/>
    </w:pPr>
    <w:rPr>
      <w:rFonts w:ascii="Arial" w:hAnsi="Arial"/>
      <w:spacing w:val="-5"/>
      <w:lang w:eastAsia="ar-SA"/>
    </w:rPr>
  </w:style>
  <w:style w:type="paragraph" w:styleId="Annotationtext">
    <w:name w:val="annotation text"/>
    <w:basedOn w:val="Normal"/>
    <w:link w:val="TekstkomentarzaZnak"/>
    <w:qFormat/>
    <w:pPr>
      <w:suppressAutoHyphens w:val="true"/>
    </w:pPr>
    <w:rPr>
      <w:sz w:val="20"/>
      <w:lang w:val="x-none" w:eastAsia="ar-SA"/>
    </w:rPr>
  </w:style>
  <w:style w:type="paragraph" w:styleId="ListParagraph">
    <w:name w:val="List Paragraph"/>
    <w:basedOn w:val="Normal"/>
    <w:uiPriority w:val="34"/>
    <w:qFormat/>
    <w:pPr>
      <w:spacing w:lineRule="auto" w:line="276" w:before="0" w:after="200"/>
      <w:ind w:left="720" w:hanging="0"/>
      <w:contextualSpacing/>
    </w:pPr>
    <w:rPr>
      <w:rFonts w:ascii="Calibri" w:hAnsi="Calibri" w:eastAsia="Calibri"/>
      <w:sz w:val="22"/>
      <w:szCs w:val="22"/>
      <w:lang w:eastAsia="en-US"/>
    </w:rPr>
  </w:style>
  <w:style w:type="paragraph" w:styleId="Lista2">
    <w:name w:val="List Bullet 3"/>
    <w:basedOn w:val="Normal"/>
    <w:pPr>
      <w:spacing w:before="0" w:after="0"/>
      <w:ind w:left="566" w:hanging="283"/>
      <w:contextualSpacing/>
    </w:pPr>
    <w:rPr/>
  </w:style>
  <w:style w:type="paragraph" w:styleId="PlainText">
    <w:name w:val="Plain Text"/>
    <w:basedOn w:val="Normal"/>
    <w:link w:val="ZwykytekstZnak"/>
    <w:qFormat/>
    <w:pPr/>
    <w:rPr>
      <w:rFonts w:ascii="Courier New" w:hAnsi="Courier New"/>
      <w:sz w:val="20"/>
      <w:lang w:val="x-none"/>
    </w:rPr>
  </w:style>
  <w:style w:type="paragraph" w:styleId="Podtytu">
    <w:name w:val="Subtitle"/>
    <w:basedOn w:val="Normal"/>
    <w:link w:val="PodtytuZnak"/>
    <w:qFormat/>
    <w:pPr>
      <w:jc w:val="both"/>
    </w:pPr>
    <w:rPr>
      <w:b/>
      <w:sz w:val="28"/>
      <w:lang w:val="x-none"/>
    </w:rPr>
  </w:style>
  <w:style w:type="paragraph" w:styleId="NormalWeb">
    <w:name w:val="Normal (Web)"/>
    <w:basedOn w:val="Normal"/>
    <w:uiPriority w:val="99"/>
    <w:unhideWhenUsed/>
    <w:qFormat/>
    <w:pPr>
      <w:spacing w:beforeAutospacing="1" w:afterAutospacing="1"/>
    </w:pPr>
    <w:rPr>
      <w:szCs w:val="24"/>
    </w:rPr>
  </w:style>
  <w:style w:type="paragraph" w:styleId="1111111" w:customStyle="1">
    <w:name w:val="1111111"/>
    <w:basedOn w:val="Normal"/>
    <w:link w:val="1111111Znak"/>
    <w:qFormat/>
    <w:pPr>
      <w:spacing w:before="0" w:after="80"/>
      <w:ind w:left="794" w:hanging="397"/>
      <w:jc w:val="both"/>
    </w:pPr>
    <w:rPr>
      <w:lang w:val="x-none"/>
    </w:rPr>
  </w:style>
  <w:style w:type="paragraph" w:styleId="11111111ust" w:customStyle="1">
    <w:name w:val="11111111 ust"/>
    <w:basedOn w:val="Normal"/>
    <w:link w:val="11111111ustZnak"/>
    <w:qFormat/>
    <w:pPr>
      <w:spacing w:before="0" w:after="80"/>
      <w:ind w:left="431" w:hanging="255"/>
      <w:jc w:val="both"/>
    </w:pPr>
    <w:rPr>
      <w:lang w:val="x-none"/>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Standard" w:customStyle="1">
    <w:name w:val="Standard"/>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bidi="pl-PL" w:val="pl-PL" w:eastAsia="pl-PL"/>
    </w:rPr>
  </w:style>
  <w:style w:type="paragraph" w:styleId="Przypiskocowy">
    <w:name w:val="Endnote Text"/>
    <w:basedOn w:val="Normal"/>
    <w:link w:val="TekstprzypisukocowegoZnak"/>
    <w:uiPriority w:val="99"/>
    <w:semiHidden/>
    <w:unhideWhenUsed/>
    <w:pPr/>
    <w:rPr>
      <w:sz w:val="20"/>
      <w:lang w:val="x-none" w:eastAsia="x-none"/>
    </w:rPr>
  </w:style>
  <w:style w:type="paragraph" w:styleId="Nagwek12" w:customStyle="1">
    <w:name w:val="Nagłówek #1"/>
    <w:basedOn w:val="Normal"/>
    <w:link w:val="Nagwek10"/>
    <w:qFormat/>
    <w:pPr>
      <w:widowControl w:val="false"/>
      <w:shd w:val="clear" w:color="auto" w:fill="FFFFFF"/>
      <w:spacing w:lineRule="atLeast" w:line="0"/>
      <w:jc w:val="center"/>
      <w:outlineLvl w:val="0"/>
    </w:pPr>
    <w:rPr>
      <w:b/>
      <w:bCs/>
      <w:sz w:val="32"/>
      <w:szCs w:val="32"/>
    </w:rPr>
  </w:style>
  <w:style w:type="paragraph" w:styleId="Teksttreci31" w:customStyle="1">
    <w:name w:val="Tekst treści (3)"/>
    <w:basedOn w:val="Normal"/>
    <w:link w:val="Teksttreci3"/>
    <w:qFormat/>
    <w:pPr>
      <w:widowControl w:val="false"/>
      <w:shd w:val="clear" w:color="auto" w:fill="FFFFFF"/>
      <w:spacing w:lineRule="exact" w:line="317"/>
      <w:jc w:val="center"/>
    </w:pPr>
    <w:rPr>
      <w:b/>
      <w:bCs/>
      <w:sz w:val="28"/>
      <w:szCs w:val="28"/>
    </w:rPr>
  </w:style>
  <w:style w:type="paragraph" w:styleId="Teksttreci21" w:customStyle="1">
    <w:name w:val="Tekst treści (2)"/>
    <w:basedOn w:val="Normal"/>
    <w:link w:val="Teksttreci2"/>
    <w:qFormat/>
    <w:pPr>
      <w:widowControl w:val="false"/>
      <w:shd w:val="clear" w:color="auto" w:fill="FFFFFF"/>
      <w:spacing w:lineRule="atLeast" w:line="0"/>
      <w:ind w:hanging="540"/>
      <w:jc w:val="right"/>
    </w:pPr>
    <w:rPr/>
  </w:style>
  <w:style w:type="paragraph" w:styleId="Nagwek23" w:customStyle="1">
    <w:name w:val="Nagłówek #2"/>
    <w:basedOn w:val="Normal"/>
    <w:link w:val="Nagwek21"/>
    <w:qFormat/>
    <w:pPr>
      <w:widowControl w:val="false"/>
      <w:shd w:val="clear" w:color="auto" w:fill="FFFFFF"/>
      <w:spacing w:lineRule="exact" w:line="274"/>
      <w:ind w:hanging="440"/>
      <w:jc w:val="both"/>
      <w:outlineLvl w:val="1"/>
    </w:pPr>
    <w:rPr>
      <w:b/>
      <w:bCs/>
      <w:i/>
      <w:iCs/>
    </w:rPr>
  </w:style>
  <w:style w:type="paragraph" w:styleId="Teksttreci41" w:customStyle="1">
    <w:name w:val="Tekst treści (4)"/>
    <w:basedOn w:val="Normal"/>
    <w:link w:val="Teksttreci4"/>
    <w:qFormat/>
    <w:pPr>
      <w:widowControl w:val="false"/>
      <w:shd w:val="clear" w:color="auto" w:fill="FFFFFF"/>
      <w:spacing w:lineRule="exact" w:line="274"/>
      <w:ind w:hanging="440"/>
      <w:jc w:val="both"/>
    </w:pPr>
    <w:rPr>
      <w:b/>
      <w:bCs/>
    </w:rPr>
  </w:style>
  <w:style w:type="paragraph" w:styleId="Teksttreci51" w:customStyle="1">
    <w:name w:val="Tekst treści (5)"/>
    <w:basedOn w:val="Normal"/>
    <w:link w:val="Teksttreci5"/>
    <w:qFormat/>
    <w:pPr>
      <w:widowControl w:val="false"/>
      <w:shd w:val="clear" w:color="auto" w:fill="FFFFFF"/>
      <w:spacing w:lineRule="exact" w:line="274"/>
      <w:jc w:val="both"/>
    </w:pPr>
    <w:rPr>
      <w:i/>
      <w:iCs/>
      <w:sz w:val="20"/>
    </w:rPr>
  </w:style>
  <w:style w:type="paragraph" w:styleId="NoSpacing">
    <w:name w:val="No Spacing"/>
    <w:uiPriority w:val="1"/>
    <w:qFormat/>
    <w:pPr>
      <w:widowControl/>
      <w:bidi w:val="0"/>
      <w:spacing w:before="0" w:after="0"/>
      <w:jc w:val="left"/>
    </w:pPr>
    <w:rPr>
      <w:rFonts w:ascii="Calibri" w:hAnsi="Calibri" w:eastAsia="Calibri" w:cs="Times New Roman"/>
      <w:color w:val="auto"/>
      <w:kern w:val="0"/>
      <w:sz w:val="22"/>
      <w:szCs w:val="22"/>
      <w:lang w:eastAsia="en-US" w:val="pl-PL" w:bidi="ar-SA"/>
    </w:rPr>
  </w:style>
  <w:style w:type="paragraph" w:styleId="Zawartoramki">
    <w:name w:val="Zawartość ramki"/>
    <w:basedOn w:val="Normal"/>
    <w:qFormat/>
    <w:pPr/>
    <w:rPr/>
  </w:style>
  <w:style w:type="numbering" w:styleId="NoList" w:default="1">
    <w:name w:val="No List"/>
    <w:uiPriority w:val="99"/>
    <w:semiHidden/>
    <w:unhideWhenUsed/>
    <w:qFormat/>
  </w:style>
  <w:style w:type="numbering" w:styleId="Styl2" w:customStyle="1">
    <w:name w:val="Styl2"/>
    <w:qFormat/>
  </w:style>
  <w:style w:type="numbering" w:styleId="Biecalista1" w:customStyle="1">
    <w:name w:val="Bieżąca lista1"/>
    <w:qFormat/>
  </w:style>
  <w:style w:type="numbering" w:styleId="OutlineList2">
    <w:name w:val="Outline List 2"/>
    <w:qFormat/>
  </w:style>
  <w:style w:type="numbering" w:styleId="Styl1" w:customStyle="1">
    <w:name w:val="Styl1"/>
    <w:uiPriority w:val="99"/>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unduszeeuropejskie.gov.pl/strony/o-funduszach/dokumenty/wytyczne-w-zakresiekwalifikowalnosci-wydatkow-w-ramach-europejskiego-funduszu-rozwoju-regionalnego-europejskiegofunduszu-spolecznego-oraz-funduszu-spojnosci-na-lata-2014-2020/"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1E84-93A7-44FC-8FD1-7C1F8186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LibreOffice/7.2.5.2$Windows_X86_64 LibreOffice_project/499f9727c189e6ef3471021d6132d4c694f357e5</Application>
  <AppVersion>15.0000</AppVersion>
  <Pages>20</Pages>
  <Words>4981</Words>
  <Characters>32516</Characters>
  <CharactersWithSpaces>37293</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2023-04-18T12:35:00Z</dcterms:created>
  <dc:creator>MSIT</dc:creator>
  <dc:description/>
  <dc:language>pl-PL</dc:language>
  <cp:lastModifiedBy/>
  <cp:lastPrinted>2018-05-24T11:11:00Z</cp:lastPrinted>
  <dcterms:modified xsi:type="dcterms:W3CDTF">2023-04-27T09:37:53Z</dcterms:modified>
  <cp:revision>2</cp:revision>
  <dc:subject/>
  <dc:title>ZATWIERDZAM</dc:title>
</cp:coreProperties>
</file>

<file path=docProps/custom.xml><?xml version="1.0" encoding="utf-8"?>
<Properties xmlns="http://schemas.openxmlformats.org/officeDocument/2006/custom-properties" xmlns:vt="http://schemas.openxmlformats.org/officeDocument/2006/docPropsVTypes"/>
</file>